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39AB4">
      <w:pPr>
        <w:jc w:val="center"/>
        <w:rPr>
          <w:rFonts w:ascii="黑体" w:hAnsi="黑体" w:eastAsia="黑体"/>
          <w:b/>
          <w:color w:val="1F3864"/>
          <w:sz w:val="52"/>
        </w:rPr>
      </w:pPr>
      <w:r>
        <w:rPr>
          <w:rFonts w:hint="eastAsia" w:ascii="黑体" w:hAnsi="黑体" w:eastAsia="黑体" w:cstheme="minorBidi"/>
          <w:b/>
          <w:bCs w:val="0"/>
          <w:color w:val="1F3864"/>
          <w:sz w:val="52"/>
          <w:szCs w:val="22"/>
          <w:lang w:val="en-US" w:eastAsia="en-US" w:bidi="ar-SA"/>
        </w:rPr>
        <w:t>风电机组性能检测系统</w:t>
      </w:r>
    </w:p>
    <w:p w14:paraId="57FA9E9D">
      <w:pPr>
        <w:jc w:val="center"/>
        <w:rPr>
          <w:rFonts w:ascii="黑体" w:hAnsi="黑体" w:eastAsia="黑体"/>
          <w:b/>
          <w:color w:val="4472C4"/>
          <w:sz w:val="44"/>
        </w:rPr>
      </w:pPr>
      <w:r>
        <w:rPr>
          <w:rFonts w:hint="eastAsia" w:ascii="黑体" w:hAnsi="黑体" w:eastAsia="黑体"/>
          <w:b/>
          <w:color w:val="4472C4"/>
          <w:sz w:val="44"/>
          <w:lang w:val="en-US" w:eastAsia="zh-CN"/>
        </w:rPr>
        <w:t>操 作</w:t>
      </w:r>
      <w:r>
        <w:rPr>
          <w:rFonts w:ascii="黑体" w:hAnsi="黑体" w:eastAsia="黑体"/>
          <w:b/>
          <w:color w:val="4472C4"/>
          <w:sz w:val="44"/>
        </w:rPr>
        <w:t xml:space="preserve"> 手 册</w:t>
      </w:r>
    </w:p>
    <w:p w14:paraId="64F512B1">
      <w:pPr>
        <w:jc w:val="center"/>
        <w:rPr>
          <w:rFonts w:ascii="黑体" w:hAnsi="黑体" w:eastAsia="黑体"/>
          <w:b/>
          <w:color w:val="4472C4"/>
          <w:sz w:val="44"/>
        </w:rPr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1"/>
        <w:gridCol w:w="4455"/>
      </w:tblGrid>
      <w:tr w14:paraId="3BFA4684">
        <w:trPr>
          <w:jc w:val="center"/>
        </w:trPr>
        <w:tc>
          <w:tcPr>
            <w:tcW w:w="4401" w:type="dxa"/>
            <w:shd w:val="clear" w:color="auto" w:fill="D6E4F7"/>
          </w:tcPr>
          <w:p w14:paraId="5C223CBF">
            <w:pPr>
              <w:spacing w:after="0" w:line="240" w:lineRule="auto"/>
            </w:pPr>
            <w:r>
              <w:rPr>
                <w:rFonts w:ascii="黑体" w:hAnsi="黑体" w:eastAsia="黑体"/>
                <w:b/>
                <w:sz w:val="22"/>
              </w:rPr>
              <w:t>文档名称</w:t>
            </w:r>
          </w:p>
        </w:tc>
        <w:tc>
          <w:tcPr>
            <w:tcW w:w="4455" w:type="dxa"/>
          </w:tcPr>
          <w:p w14:paraId="771C6F59">
            <w:pPr>
              <w:spacing w:after="0" w:line="240" w:lineRule="auto"/>
            </w:pPr>
            <w:r>
              <w:rPr>
                <w:rFonts w:hint="eastAsia" w:ascii="宋体" w:hAnsi="宋体" w:eastAsia="宋体"/>
                <w:sz w:val="22"/>
              </w:rPr>
              <w:t>风电机组性能检测</w:t>
            </w:r>
            <w:r>
              <w:rPr>
                <w:rFonts w:ascii="宋体" w:hAnsi="宋体" w:eastAsia="宋体"/>
                <w:sz w:val="22"/>
              </w:rPr>
              <w:t>系统</w:t>
            </w:r>
            <w:r>
              <w:rPr>
                <w:rFonts w:hint="eastAsia" w:ascii="宋体" w:hAnsi="宋体" w:eastAsia="宋体"/>
                <w:sz w:val="22"/>
                <w:lang w:val="en-US" w:eastAsia="zh-CN"/>
              </w:rPr>
              <w:t>操作</w:t>
            </w:r>
            <w:r>
              <w:rPr>
                <w:rFonts w:ascii="宋体" w:hAnsi="宋体" w:eastAsia="宋体"/>
                <w:sz w:val="22"/>
              </w:rPr>
              <w:t>手册</w:t>
            </w:r>
          </w:p>
        </w:tc>
      </w:tr>
      <w:tr w14:paraId="6E224E09">
        <w:trPr>
          <w:jc w:val="center"/>
        </w:trPr>
        <w:tc>
          <w:tcPr>
            <w:tcW w:w="4401" w:type="dxa"/>
            <w:shd w:val="clear" w:color="auto" w:fill="D6E4F7"/>
          </w:tcPr>
          <w:p w14:paraId="7863EA1C">
            <w:pPr>
              <w:spacing w:after="0" w:line="240" w:lineRule="auto"/>
            </w:pPr>
            <w:r>
              <w:rPr>
                <w:rFonts w:ascii="黑体" w:hAnsi="黑体" w:eastAsia="黑体"/>
                <w:b/>
                <w:sz w:val="22"/>
              </w:rPr>
              <w:t>编制日期</w:t>
            </w:r>
          </w:p>
        </w:tc>
        <w:tc>
          <w:tcPr>
            <w:tcW w:w="4455" w:type="dxa"/>
          </w:tcPr>
          <w:p w14:paraId="2E488142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2026年07月07日</w:t>
            </w:r>
          </w:p>
        </w:tc>
      </w:tr>
      <w:tr w14:paraId="6CDB0E5B">
        <w:trPr>
          <w:jc w:val="center"/>
        </w:trPr>
        <w:tc>
          <w:tcPr>
            <w:tcW w:w="4401" w:type="dxa"/>
            <w:shd w:val="clear" w:color="auto" w:fill="D6E4F7"/>
          </w:tcPr>
          <w:p w14:paraId="5F23EDAA">
            <w:pPr>
              <w:spacing w:after="0" w:line="240" w:lineRule="auto"/>
            </w:pPr>
            <w:r>
              <w:rPr>
                <w:rFonts w:ascii="黑体" w:hAnsi="黑体" w:eastAsia="黑体"/>
                <w:b/>
                <w:sz w:val="22"/>
              </w:rPr>
              <w:t>部署地点</w:t>
            </w:r>
          </w:p>
        </w:tc>
        <w:tc>
          <w:tcPr>
            <w:tcW w:w="4455" w:type="dxa"/>
          </w:tcPr>
          <w:p w14:paraId="2EECABC7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大唐可再生试验研究院（高井）办公楼一层101机房</w:t>
            </w:r>
          </w:p>
        </w:tc>
      </w:tr>
      <w:tr w14:paraId="04BAFBDF">
        <w:trPr>
          <w:jc w:val="center"/>
        </w:trPr>
        <w:tc>
          <w:tcPr>
            <w:tcW w:w="4401" w:type="dxa"/>
            <w:shd w:val="clear" w:color="auto" w:fill="D6E4F7"/>
          </w:tcPr>
          <w:p w14:paraId="191DB33A">
            <w:pPr>
              <w:spacing w:after="0" w:line="240" w:lineRule="auto"/>
            </w:pPr>
            <w:r>
              <w:rPr>
                <w:rFonts w:ascii="黑体" w:hAnsi="黑体" w:eastAsia="黑体"/>
                <w:b/>
                <w:sz w:val="22"/>
              </w:rPr>
              <w:t>适用对象</w:t>
            </w:r>
          </w:p>
        </w:tc>
        <w:tc>
          <w:tcPr>
            <w:tcW w:w="4455" w:type="dxa"/>
          </w:tcPr>
          <w:p w14:paraId="3CB07D10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系统管理员、运维工程师</w:t>
            </w:r>
          </w:p>
        </w:tc>
      </w:tr>
    </w:tbl>
    <w:p w14:paraId="0E0F2F4E">
      <w:pPr>
        <w:rPr>
          <w:rFonts w:ascii="黑体" w:hAnsi="黑体" w:eastAsia="黑体"/>
          <w:b/>
          <w:color w:val="4472C4"/>
          <w:sz w:val="44"/>
        </w:rPr>
      </w:pPr>
      <w:r>
        <w:br w:type="page"/>
      </w:r>
    </w:p>
    <w:p w14:paraId="3BDAF7D0"/>
    <w:p w14:paraId="05AEBC08">
      <w:pPr>
        <w:pStyle w:val="4"/>
      </w:pPr>
      <w:r>
        <w:rPr>
          <w:rFonts w:ascii="黑体" w:hAnsi="黑体" w:eastAsia="黑体"/>
        </w:rPr>
        <w:t>1. 系统概述</w:t>
      </w:r>
    </w:p>
    <w:p w14:paraId="396318B3">
      <w:r>
        <w:t xml:space="preserve">异常检测用于对风电场风机运行过程中的 </w:t>
      </w:r>
      <w:r>
        <w:rPr>
          <w:b/>
        </w:rPr>
        <w:t>数据感知异常</w:t>
      </w:r>
      <w:r>
        <w:t xml:space="preserve"> 与 </w:t>
      </w:r>
      <w:r>
        <w:rPr>
          <w:b/>
        </w:rPr>
        <w:t>功能诊断异常</w:t>
      </w:r>
      <w:r>
        <w:t xml:space="preserve"> 进行监测、统计与下钻分析。系统以 </w:t>
      </w:r>
      <w:r>
        <w:rPr>
          <w:b/>
        </w:rPr>
        <w:t>风场</w:t>
      </w:r>
      <w:r>
        <w:t>、</w:t>
      </w:r>
      <w:r>
        <w:rPr>
          <w:b/>
        </w:rPr>
        <w:t>分析日期</w:t>
      </w:r>
      <w:r>
        <w:t xml:space="preserve"> 为查询维度，从风场级异常概览逐层下钻至单机组、单异常类型的明细记录与诊断图表。</w:t>
      </w:r>
    </w:p>
    <w:p w14:paraId="24C93997">
      <w:r>
        <w:rPr>
          <w:b/>
        </w:rPr>
        <w:t>异常类型说明：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1E9519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0C4F7AC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类型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7CD877D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含义</w:t>
            </w:r>
          </w:p>
        </w:tc>
      </w:tr>
      <w:tr w14:paraId="3956E3F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CD2D96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数据感知异常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8E5C7F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基于传感器及运行数据的异常感知，如数据缺失、越限、不一致等</w:t>
            </w:r>
          </w:p>
        </w:tc>
      </w:tr>
      <w:tr w14:paraId="4F35A39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CBE393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754280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基于功能模块的运行诊断异常，如风速-功率、偏航、变桨、运行状态、气动性能等</w:t>
            </w:r>
          </w:p>
        </w:tc>
      </w:tr>
    </w:tbl>
    <w:p w14:paraId="59ACE421"/>
    <w:p w14:paraId="122C37BA">
      <w:r>
        <w:rPr>
          <w:b/>
        </w:rPr>
        <w:t>主要功能模块：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2214"/>
        <w:gridCol w:w="2214"/>
        <w:gridCol w:w="2214"/>
      </w:tblGrid>
      <w:tr w14:paraId="27CFD359"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2EA833B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序号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253671A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模块名称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BA14D2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功能说明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4C0853E">
            <w:pPr>
              <w:spacing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b/>
                <w:color w:val="FFFFFF"/>
                <w:sz w:val="22"/>
                <w:lang w:val="en-US" w:eastAsia="zh-CN"/>
              </w:rPr>
              <w:t>页面截图</w:t>
            </w:r>
          </w:p>
        </w:tc>
      </w:tr>
      <w:tr w14:paraId="6EAB50A2"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E0D55E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EF6E48A">
            <w:pPr>
              <w:spacing w:after="0" w:line="240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b w:val="0"/>
                <w:color w:val="000000"/>
                <w:sz w:val="22"/>
              </w:rPr>
              <w:t>首页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37FC8C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风场筛选、日期选择、异常 Tab 汇总展示与快捷跳转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ADA4AE2">
            <w:pPr>
              <w:spacing w:after="0" w:line="240" w:lineRule="auto"/>
              <w:jc w:val="left"/>
            </w:pPr>
            <w:r>
              <w:drawing>
                <wp:inline distT="0" distB="0" distL="114300" distR="114300">
                  <wp:extent cx="1216025" cy="675005"/>
                  <wp:effectExtent l="0" t="0" r="3175" b="10795"/>
                  <wp:docPr id="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326" r="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025" cy="675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46FE06"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9A5998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7779AD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异常检测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5E06C4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风场异常全景分析、热力图、模块统计、风机列表及机组详情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99C5CF2">
            <w:pPr>
              <w:spacing w:after="0" w:line="240" w:lineRule="auto"/>
              <w:jc w:val="left"/>
            </w:pPr>
            <w:r>
              <w:drawing>
                <wp:inline distT="0" distB="0" distL="114300" distR="114300">
                  <wp:extent cx="1221740" cy="677545"/>
                  <wp:effectExtent l="0" t="0" r="22860" b="8255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92" r="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740" cy="677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22334B"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83351B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59B8C041">
            <w:pPr>
              <w:spacing w:after="0" w:line="240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b w:val="0"/>
                <w:color w:val="000000"/>
                <w:sz w:val="22"/>
                <w:lang w:val="en-US" w:eastAsia="zh-CN"/>
              </w:rPr>
              <w:t>风资源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9EAB38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风资源分布与尾流影响评估（平台共用功能模块）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5A3587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drawing>
                <wp:inline distT="0" distB="0" distL="114300" distR="114300">
                  <wp:extent cx="1225550" cy="777240"/>
                  <wp:effectExtent l="0" t="0" r="19050" b="1016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55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7EF87"/>
    <w:p w14:paraId="344D9129"/>
    <w:p w14:paraId="0E910A72">
      <w:pPr>
        <w:pStyle w:val="4"/>
      </w:pPr>
      <w:r>
        <w:rPr>
          <w:rFonts w:ascii="黑体" w:hAnsi="黑体" w:eastAsia="黑体"/>
        </w:rPr>
        <w:t>2. 登录与进入系统</w:t>
      </w:r>
    </w:p>
    <w:p w14:paraId="1A1C496D">
      <w:pPr>
        <w:pStyle w:val="5"/>
      </w:pPr>
      <w:r>
        <w:rPr>
          <w:rFonts w:ascii="黑体" w:hAnsi="黑体" w:eastAsia="黑体"/>
        </w:rPr>
        <w:t>2.1 系统登录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43DD70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21CDEED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2DD3790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05F19EE8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03F7F95F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03EEB8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3CE4B2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在浏览器中打开系统登录地址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5DEE7C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建议使用 Chrome、Edge 等现代浏览器</w:t>
            </w:r>
          </w:p>
        </w:tc>
      </w:tr>
      <w:tr w14:paraId="1850AA4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CD2C15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F30035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输入账号、密码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A3CDEC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由系统管理员分配</w:t>
            </w:r>
          </w:p>
        </w:tc>
      </w:tr>
      <w:tr w14:paraId="1BFBB0D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532DFAC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2B3C0A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点击「登录」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C9E73E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验证通过后进入系统主界面</w:t>
            </w:r>
          </w:p>
        </w:tc>
      </w:tr>
    </w:tbl>
    <w:p w14:paraId="490AE4A7"/>
    <w:p w14:paraId="56B45F05">
      <w:pPr>
        <w:pStyle w:val="5"/>
      </w:pPr>
      <w:r>
        <w:rPr>
          <w:rFonts w:ascii="黑体" w:hAnsi="黑体" w:eastAsia="黑体"/>
        </w:rPr>
        <w:t>2.2 进入异常检测模块</w:t>
      </w:r>
    </w:p>
    <w:p w14:paraId="3460820D">
      <w:r>
        <w:t>异常检测模块有以下两种常用入口：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6368DD6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CBBF15F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入口方式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30BE87E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操作路径</w:t>
            </w:r>
          </w:p>
        </w:tc>
      </w:tr>
      <w:tr w14:paraId="75D7B71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2DEF48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方式一（菜单进入）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8258F0F">
            <w:pPr>
              <w:spacing w:after="0" w:line="240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b w:val="0"/>
                <w:color w:val="000000"/>
                <w:sz w:val="22"/>
              </w:rPr>
              <w:t xml:space="preserve">登录后，在 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>左侧菜单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 xml:space="preserve"> 中点击 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>「异常检测」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</w:p>
        </w:tc>
      </w:tr>
      <w:tr w14:paraId="0B0A38F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12A447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方式二（</w:t>
            </w:r>
            <w:r>
              <w:rPr>
                <w:rFonts w:hint="eastAsia"/>
                <w:b w:val="0"/>
                <w:color w:val="000000"/>
                <w:sz w:val="22"/>
                <w:lang w:val="en-US" w:eastAsia="zh-CN"/>
              </w:rPr>
              <w:t>首页</w:t>
            </w:r>
            <w:r>
              <w:rPr>
                <w:b w:val="0"/>
                <w:color w:val="000000"/>
                <w:sz w:val="22"/>
              </w:rPr>
              <w:t>跳转）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C2D5150">
            <w:pPr>
              <w:spacing w:after="0" w:line="240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b w:val="0"/>
                <w:color w:val="000000"/>
                <w:sz w:val="22"/>
              </w:rPr>
              <w:t xml:space="preserve">在首页右侧 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>异常 Tab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 xml:space="preserve"> 的表格中，点击目标 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>风场名称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</w:p>
        </w:tc>
      </w:tr>
    </w:tbl>
    <w:p w14:paraId="713E9A9E"/>
    <w:p w14:paraId="66408911">
      <w:r>
        <w:rPr>
          <w:b/>
        </w:rPr>
        <w:t>说明：</w:t>
      </w:r>
      <w:r>
        <w:t xml:space="preserve"> 从跳转时，系统自动携带当前所选风场及分析日期，进入异常检测页后无需重复选择查询条件。</w:t>
      </w:r>
      <w:r>
        <w:br w:type="textWrapping"/>
      </w:r>
      <w:r>
        <w:drawing>
          <wp:inline distT="0" distB="0" distL="114300" distR="114300">
            <wp:extent cx="5481320" cy="3040380"/>
            <wp:effectExtent l="0" t="0" r="5080" b="7620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C3DED"/>
    <w:p w14:paraId="29AFA4DE">
      <w:pPr>
        <w:pStyle w:val="4"/>
      </w:pPr>
      <w:r>
        <w:rPr>
          <w:rFonts w:ascii="黑体" w:hAnsi="黑体" w:eastAsia="黑体"/>
        </w:rPr>
        <w:t>3. 首页操作说明</w:t>
      </w:r>
    </w:p>
    <w:p w14:paraId="1D43713E">
      <w:pPr>
        <w:ind w:left="360"/>
      </w:pPr>
      <w:r>
        <w:rPr>
          <w:i w:val="0"/>
          <w:iCs/>
        </w:rPr>
        <w:t xml:space="preserve">本节说明左侧统计面板（组织/风场选择、日期、接入统计、面板显示开关）及右侧 </w:t>
      </w:r>
      <w:r>
        <w:rPr>
          <w:rFonts w:hint="eastAsia"/>
          <w:i w:val="0"/>
          <w:iCs/>
          <w:lang w:eastAsia="zh-CN"/>
        </w:rPr>
        <w:t xml:space="preserve">  </w:t>
      </w:r>
      <w:r>
        <w:rPr>
          <w:i w:val="0"/>
          <w:iCs/>
        </w:rPr>
        <w:t>异常 Tab</w:t>
      </w:r>
      <w:r>
        <w:rPr>
          <w:rFonts w:hint="eastAsia"/>
          <w:i w:val="0"/>
          <w:iCs/>
          <w:lang w:eastAsia="zh-CN"/>
        </w:rPr>
        <w:t xml:space="preserve">  </w:t>
      </w:r>
      <w:r>
        <w:rPr>
          <w:i w:val="0"/>
          <w:iCs/>
        </w:rPr>
        <w:t xml:space="preserve"> 相关操作</w:t>
      </w:r>
      <w:r>
        <w:rPr>
          <w:i/>
        </w:rPr>
        <w:br w:type="textWrapping"/>
      </w:r>
    </w:p>
    <w:p w14:paraId="1EB05AC6">
      <w:pPr>
        <w:pStyle w:val="5"/>
      </w:pPr>
      <w:r>
        <w:rPr>
          <w:rFonts w:ascii="黑体" w:hAnsi="黑体" w:eastAsia="黑体"/>
        </w:rPr>
        <w:t>3.1 界面布局</w:t>
      </w:r>
    </w:p>
    <w:p w14:paraId="6FC13D1F">
      <w:r>
        <w:t xml:space="preserve">首页采用 </w:t>
      </w:r>
      <w:r>
        <w:rPr>
          <w:b/>
        </w:rPr>
        <w:t>地图 + 浮层面板</w:t>
      </w:r>
      <w:r>
        <w:t xml:space="preserve"> 布局，主要区域如下：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3E4386CB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69CAE4D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07AB5FD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位置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C05E86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功能</w:t>
            </w:r>
          </w:p>
        </w:tc>
      </w:tr>
      <w:tr w14:paraId="336D4803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2A6DD7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左侧统计面板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AEE3FC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页面左侧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05C28E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组织/风场选择、日期选择、接入统计、显示开关</w:t>
            </w:r>
          </w:p>
        </w:tc>
      </w:tr>
      <w:tr w14:paraId="35EC467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B00C60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中央地图区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EA4D1C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页面中部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906D61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展示风场地理分布及标记点</w:t>
            </w:r>
          </w:p>
        </w:tc>
      </w:tr>
      <w:tr w14:paraId="40E5A5E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AC2AAC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右侧面板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D8EF02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页面右侧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F475CE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健康 / 异常 Tab 切换及业务数据展示</w:t>
            </w:r>
          </w:p>
        </w:tc>
      </w:tr>
    </w:tbl>
    <w:p w14:paraId="239FAF22"/>
    <w:p w14:paraId="2D548112">
      <w:pPr>
        <w:pStyle w:val="5"/>
      </w:pPr>
      <w:r>
        <w:rPr>
          <w:rFonts w:ascii="黑体" w:hAnsi="黑体" w:eastAsia="黑体"/>
        </w:rPr>
        <w:t>3.2 选择组织或风场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265494E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5BD25BB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785196F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50A3C9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10A0C80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6B47E9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76499B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 xml:space="preserve">在左侧面板点击 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>「请选择所属公司」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 xml:space="preserve"> 下拉框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360FD5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展开组织树形列表</w:t>
            </w:r>
          </w:p>
        </w:tc>
      </w:tr>
      <w:tr w14:paraId="0B2BA64B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63FA84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EEE1133">
            <w:pPr>
              <w:spacing w:after="0" w:line="240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b w:val="0"/>
                <w:color w:val="000000"/>
                <w:sz w:val="22"/>
              </w:rPr>
              <w:t xml:space="preserve">在组织树中选择目标 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>公司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 xml:space="preserve"> 或 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>风场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E2C8DA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可在搜索框输入关键字快速过滤</w:t>
            </w:r>
          </w:p>
        </w:tc>
      </w:tr>
      <w:tr w14:paraId="4F9F78C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5551BEA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84E4B6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单击目标节点完成选择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A4512A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选择后自动生效，无需额外确认</w:t>
            </w:r>
          </w:p>
        </w:tc>
      </w:tr>
    </w:tbl>
    <w:p w14:paraId="593B80F0"/>
    <w:p w14:paraId="5DBAADC8">
      <w:r>
        <w:rPr>
          <w:b/>
        </w:rPr>
        <w:t>预期结果：</w:t>
      </w:r>
    </w:p>
    <w:p w14:paraId="5B984BF1">
      <w:pPr>
        <w:pStyle w:val="16"/>
      </w:pPr>
      <w:r>
        <w:t>中央地图刷新并展示所选范围内风场的地理标记点；</w:t>
      </w:r>
    </w:p>
    <w:p w14:paraId="52C6E8AB">
      <w:pPr>
        <w:pStyle w:val="16"/>
      </w:pPr>
      <w:r>
        <w:t xml:space="preserve">右侧 </w:t>
      </w:r>
      <w:r>
        <w:rPr>
          <w:rFonts w:hint="eastAsia"/>
          <w:lang w:eastAsia="zh-CN"/>
        </w:rPr>
        <w:t xml:space="preserve">  </w:t>
      </w:r>
      <w:r>
        <w:t>异常 Tab</w:t>
      </w:r>
      <w:r>
        <w:rPr>
          <w:rFonts w:hint="eastAsia"/>
          <w:lang w:eastAsia="zh-CN"/>
        </w:rPr>
        <w:t xml:space="preserve">  </w:t>
      </w:r>
      <w:r>
        <w:t xml:space="preserve"> 的 指标与表格数据按所选范围同步刷新。</w:t>
      </w:r>
    </w:p>
    <w:p w14:paraId="47563835">
      <w:pPr>
        <w:pStyle w:val="5"/>
      </w:pPr>
      <w:r>
        <w:rPr>
          <w:rFonts w:ascii="黑体" w:hAnsi="黑体" w:eastAsia="黑体"/>
        </w:rPr>
        <w:t>3.3 选择分析日期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5DB701BD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2BD2F16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5701FFE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3E1DE21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4A0BF4D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7E8B89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8C7EAE4">
            <w:pPr>
              <w:spacing w:after="0" w:line="240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b w:val="0"/>
                <w:color w:val="000000"/>
                <w:sz w:val="22"/>
              </w:rPr>
              <w:t xml:space="preserve">点击左侧面板中的 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>日期选择器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48027C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弹出日历面板</w:t>
            </w:r>
          </w:p>
        </w:tc>
      </w:tr>
      <w:tr w14:paraId="01F0338E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ACB26A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D5C936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在日历中点选目标日期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A7F91E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显示格式为 yyyy/MM/dd</w:t>
            </w:r>
          </w:p>
        </w:tc>
      </w:tr>
      <w:tr w14:paraId="6EAA864B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CC3877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B22F5F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确认选择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A261E3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右侧异常 Tab 按新日期重新加载</w:t>
            </w:r>
          </w:p>
        </w:tc>
      </w:tr>
    </w:tbl>
    <w:p w14:paraId="3386F4E0"/>
    <w:p w14:paraId="1D4358DA">
      <w:r>
        <w:rPr>
          <w:b/>
        </w:rPr>
        <w:t>补充说明：</w:t>
      </w:r>
      <w:r>
        <w:t xml:space="preserve"> 系统默认选中 </w:t>
      </w:r>
      <w:r>
        <w:rPr>
          <w:b/>
        </w:rPr>
        <w:t>昨日</w:t>
      </w:r>
      <w:r>
        <w:t xml:space="preserve"> 作为分析日期；日期变更后 表格同步更新。</w:t>
      </w:r>
    </w:p>
    <w:p w14:paraId="06D86187">
      <w:pPr>
        <w:pStyle w:val="5"/>
      </w:pPr>
      <w:r>
        <w:rPr>
          <w:rFonts w:ascii="黑体" w:hAnsi="黑体" w:eastAsia="黑体"/>
        </w:rPr>
        <w:t>3.4 查看接入统计</w:t>
      </w:r>
    </w:p>
    <w:p w14:paraId="46CD7EE7">
      <w:r>
        <w:t xml:space="preserve">左侧面板中以下两项为 </w:t>
      </w:r>
      <w:r>
        <w:rPr>
          <w:b/>
        </w:rPr>
        <w:t>只读统计信息</w:t>
      </w:r>
      <w:r>
        <w:t>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4FD19A2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039CBB1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统计项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2B9A1B2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单位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6E2B623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0DE45B5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05A8E0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已接入风场数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CF8AAB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座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7807EC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平台当前已接入的风场总数量</w:t>
            </w:r>
          </w:p>
        </w:tc>
      </w:tr>
      <w:tr w14:paraId="4DE7DEF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24C5BB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已接入风机数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2D87E2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5BC460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平台当前已接入的风机总数量</w:t>
            </w:r>
          </w:p>
        </w:tc>
      </w:tr>
    </w:tbl>
    <w:p w14:paraId="0F81E246"/>
    <w:p w14:paraId="595E878F">
      <w:pPr>
        <w:pStyle w:val="5"/>
      </w:pPr>
      <w:r>
        <w:rPr>
          <w:rFonts w:ascii="黑体" w:hAnsi="黑体" w:eastAsia="黑体"/>
        </w:rPr>
        <w:t>3.5 显示 / 隐藏侧面板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43381C48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0301494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4A561E3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2A20696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4C61E443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6DF4BF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88AAE0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找到左侧面板底部的 显示 / 隐藏 开关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975E5D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默认处于「显示」状态</w:t>
            </w:r>
          </w:p>
        </w:tc>
      </w:tr>
      <w:tr w14:paraId="002AAD2D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4C446F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5AF85D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将开关拨至「隐藏」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8D2765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收起右侧业务面板，仅保留左侧统计面板与地图</w:t>
            </w:r>
          </w:p>
        </w:tc>
      </w:tr>
      <w:tr w14:paraId="69793183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5956909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5E50A83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将开关拨回「显示」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7298C9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恢复右侧健康 / 异常业务面板</w:t>
            </w:r>
          </w:p>
        </w:tc>
      </w:tr>
    </w:tbl>
    <w:p w14:paraId="2F37E888">
      <w:r>
        <w:drawing>
          <wp:inline distT="0" distB="0" distL="114300" distR="114300">
            <wp:extent cx="5481320" cy="3043555"/>
            <wp:effectExtent l="0" t="0" r="5080" b="4445"/>
            <wp:docPr id="3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304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F5582">
      <w:pPr>
        <w:pStyle w:val="5"/>
      </w:pPr>
      <w:r>
        <w:rPr>
          <w:rFonts w:ascii="黑体" w:hAnsi="黑体" w:eastAsia="黑体"/>
        </w:rPr>
        <w:t>3.6 异常操作</w:t>
      </w:r>
    </w:p>
    <w:p w14:paraId="1153E745">
      <w:pPr>
        <w:pStyle w:val="6"/>
      </w:pPr>
      <w:r>
        <w:rPr>
          <w:rFonts w:ascii="黑体" w:hAnsi="黑体" w:eastAsia="黑体"/>
        </w:rPr>
        <w:t>3.6.1 异常设备概览</w:t>
      </w:r>
    </w:p>
    <w:p w14:paraId="7812E352">
      <w:r>
        <w:t>页面顶部展示两个关键指标卡片：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5759"/>
      </w:tblGrid>
      <w:tr w14:paraId="3B9A64F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5D06A63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指标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3DFA7D8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192D62F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411022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  <w:lang w:val="en-US" w:eastAsia="zh-CN"/>
              </w:rPr>
              <w:t>检测</w:t>
            </w:r>
            <w:r>
              <w:rPr>
                <w:b w:val="0"/>
                <w:color w:val="000000"/>
                <w:sz w:val="22"/>
              </w:rPr>
              <w:t>台数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F83B8F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平台已</w:t>
            </w:r>
            <w:r>
              <w:rPr>
                <w:b w:val="0"/>
                <w:color w:val="000000"/>
                <w:sz w:val="22"/>
                <w:lang w:val="en-US" w:eastAsia="zh-CN"/>
              </w:rPr>
              <w:t>检测</w:t>
            </w:r>
            <w:r>
              <w:rPr>
                <w:b w:val="0"/>
                <w:color w:val="000000"/>
                <w:sz w:val="22"/>
              </w:rPr>
              <w:t>的风机总台数</w:t>
            </w:r>
          </w:p>
        </w:tc>
      </w:tr>
      <w:tr w14:paraId="624E2B2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1A787A1">
            <w:pPr>
              <w:spacing w:after="0" w:line="240" w:lineRule="auto"/>
              <w:jc w:val="left"/>
            </w:pPr>
            <w:r>
              <w:rPr>
                <w:rFonts w:hint="eastAsia"/>
                <w:b w:val="0"/>
                <w:color w:val="000000"/>
                <w:sz w:val="22"/>
                <w:lang w:val="en-US" w:eastAsia="zh-CN"/>
              </w:rPr>
              <w:t>关注</w:t>
            </w:r>
            <w:r>
              <w:rPr>
                <w:b w:val="0"/>
                <w:color w:val="000000"/>
                <w:sz w:val="22"/>
              </w:rPr>
              <w:t>台数</w:t>
            </w:r>
          </w:p>
        </w:tc>
        <w:tc>
          <w:tcPr>
            <w:tcW w:w="5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1CE5CD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当前查询范围内存在</w:t>
            </w:r>
            <w:r>
              <w:rPr>
                <w:rFonts w:hint="eastAsia"/>
                <w:b w:val="0"/>
                <w:color w:val="000000"/>
                <w:sz w:val="22"/>
                <w:lang w:val="en-US" w:eastAsia="zh-CN"/>
              </w:rPr>
              <w:t>关注</w:t>
            </w:r>
            <w:r>
              <w:rPr>
                <w:b w:val="0"/>
                <w:color w:val="000000"/>
                <w:sz w:val="22"/>
              </w:rPr>
              <w:t>记录的风机总台数</w:t>
            </w:r>
          </w:p>
        </w:tc>
      </w:tr>
    </w:tbl>
    <w:p w14:paraId="0D9A867E">
      <w:r>
        <w:drawing>
          <wp:inline distT="0" distB="0" distL="114300" distR="114300">
            <wp:extent cx="2829560" cy="1709420"/>
            <wp:effectExtent l="0" t="0" r="15240" b="1778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rcRect l="-513" r="-513"/>
                    <a:stretch>
                      <a:fillRect/>
                    </a:stretch>
                  </pic:blipFill>
                  <pic:spPr>
                    <a:xfrm>
                      <a:off x="0" y="0"/>
                      <a:ext cx="2829560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57C9F">
      <w:pPr>
        <w:pStyle w:val="6"/>
      </w:pPr>
      <w:r>
        <w:rPr>
          <w:rFonts w:ascii="黑体" w:hAnsi="黑体" w:eastAsia="黑体"/>
        </w:rPr>
        <w:t>3.6.2 异常数据信息表</w:t>
      </w:r>
    </w:p>
    <w:p w14:paraId="0A21AEE9">
      <w:r>
        <w:t xml:space="preserve">表格标题为 </w:t>
      </w:r>
      <w:r>
        <w:rPr>
          <w:b/>
        </w:rPr>
        <w:t>「异常数据信息」</w:t>
      </w:r>
      <w:r>
        <w:t>，支持自动滚动浏览。</w:t>
      </w:r>
    </w:p>
    <w:p w14:paraId="14BECEBE">
      <w:r>
        <w:drawing>
          <wp:inline distT="0" distB="0" distL="114300" distR="114300">
            <wp:extent cx="2790825" cy="4133215"/>
            <wp:effectExtent l="0" t="0" r="3175" b="6985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rcRect l="178" r="17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413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5B9347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0C65FFEF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321D82E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3EC53D6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0BD902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风场名称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CE6DE0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风场名称，蓝色可点击链接样式</w:t>
            </w:r>
          </w:p>
        </w:tc>
      </w:tr>
      <w:tr w14:paraId="57AEE9F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6C4D8E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异常风机数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2D091D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该风场内存在异常的风机数量</w:t>
            </w:r>
          </w:p>
        </w:tc>
      </w:tr>
    </w:tbl>
    <w:p w14:paraId="7DF65BFB"/>
    <w:p w14:paraId="5FF5F113">
      <w:r>
        <w:rPr>
          <w:b/>
        </w:rPr>
        <w:t>操作步骤 — 跳转至异常检测页：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4766BC2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A685F7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625B1F4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</w:tr>
      <w:tr w14:paraId="37AB3A7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5BD4C68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54AB11F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确认左侧已选择正确的组织/风场，且日期符合分析需求</w:t>
            </w:r>
          </w:p>
        </w:tc>
      </w:tr>
      <w:tr w14:paraId="27D76A3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529174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078B9D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在异常 Tab 表格中找到目标风场所在行</w:t>
            </w:r>
          </w:p>
        </w:tc>
      </w:tr>
      <w:tr w14:paraId="3977458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5903E7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38AB6AC">
            <w:pPr>
              <w:spacing w:after="0" w:line="240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b w:val="0"/>
                <w:color w:val="000000"/>
                <w:sz w:val="22"/>
              </w:rPr>
              <w:t xml:space="preserve">点击该行的 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>风场名称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</w:p>
        </w:tc>
      </w:tr>
      <w:tr w14:paraId="0A558F4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80E72B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4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BC5A8C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 xml:space="preserve">页面自动跳转至 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>异常检测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 xml:space="preserve"> 模块，风场与日期自动回填</w:t>
            </w:r>
          </w:p>
        </w:tc>
      </w:tr>
    </w:tbl>
    <w:p w14:paraId="59A23B92">
      <w:r>
        <w:drawing>
          <wp:inline distT="0" distB="0" distL="114300" distR="114300">
            <wp:extent cx="2804160" cy="4269740"/>
            <wp:effectExtent l="0" t="0" r="15240" b="2286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rcRect l="-60" r="-60"/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426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C3065"/>
    <w:p w14:paraId="23D16BE0">
      <w:pPr>
        <w:pStyle w:val="4"/>
      </w:pPr>
      <w:r>
        <w:rPr>
          <w:rFonts w:ascii="黑体" w:hAnsi="黑体" w:eastAsia="黑体"/>
        </w:rPr>
        <w:t>4. 异常检测模块操作说明</w:t>
      </w:r>
    </w:p>
    <w:p w14:paraId="58D77497">
      <w:r>
        <w:rPr>
          <w:b/>
        </w:rPr>
        <w:t>入口路径：</w:t>
      </w:r>
      <w:r>
        <w:t xml:space="preserve"> 左侧菜单 → </w:t>
      </w:r>
      <w:r>
        <w:rPr>
          <w:b/>
        </w:rPr>
        <w:t>异常检测</w:t>
      </w:r>
      <w:r>
        <w:t>；或首页异常 Tab → 点击风场名称。</w:t>
      </w:r>
    </w:p>
    <w:p w14:paraId="535F0631">
      <w:pPr>
        <w:pStyle w:val="5"/>
      </w:pPr>
      <w:r>
        <w:rPr>
          <w:rFonts w:ascii="黑体" w:hAnsi="黑体" w:eastAsia="黑体"/>
        </w:rPr>
        <w:t>4.1 页面整体布局</w:t>
      </w:r>
    </w:p>
    <w:p w14:paraId="0D073E4B">
      <w:r>
        <w:t>进入异常检测模块后，页面自上而下分为四个区域：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F6CC3F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04542B7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0CAB977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内容</w:t>
            </w:r>
          </w:p>
        </w:tc>
      </w:tr>
      <w:tr w14:paraId="128B689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BACF50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顶部查询栏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C0B624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风场选择、分析日期</w:t>
            </w:r>
          </w:p>
        </w:tc>
      </w:tr>
      <w:tr w14:paraId="61C242A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1C0B8E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上部概览区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AB545F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风场总异常概览（含雷达图）及两张异常类型热力图</w:t>
            </w:r>
          </w:p>
        </w:tc>
      </w:tr>
      <w:tr w14:paraId="3718D94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978483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中部轮播区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904292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功能诊断各模块柱状统计（自动轮播）</w:t>
            </w:r>
          </w:p>
        </w:tc>
      </w:tr>
      <w:tr w14:paraId="74DB8E9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DABF13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下部列表区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61AD53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风机列表标题、排序工具栏、风机卡片网格</w:t>
            </w:r>
          </w:p>
        </w:tc>
      </w:tr>
    </w:tbl>
    <w:p w14:paraId="710377F9"/>
    <w:p w14:paraId="2B9D93B8">
      <w:r>
        <w:t>页面加载数据时显示加载动画；各接口并行请求，全部完成后统一渲染。</w:t>
      </w:r>
    </w:p>
    <w:p w14:paraId="56FCF47F">
      <w:r>
        <w:drawing>
          <wp:inline distT="0" distB="0" distL="114300" distR="114300">
            <wp:extent cx="5481320" cy="3047365"/>
            <wp:effectExtent l="0" t="0" r="5080" b="635"/>
            <wp:docPr id="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304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FC0FD">
      <w:pPr>
        <w:pStyle w:val="5"/>
      </w:pPr>
      <w:r>
        <w:rPr>
          <w:rFonts w:ascii="黑体" w:hAnsi="黑体" w:eastAsia="黑体"/>
        </w:rPr>
        <w:t>4.2 查询条件设置</w:t>
      </w:r>
    </w:p>
    <w:p w14:paraId="5FB8E07C">
      <w:r>
        <w:t xml:space="preserve">查询条件位于 </w:t>
      </w:r>
      <w:r>
        <w:rPr>
          <w:b/>
        </w:rPr>
        <w:t>页面顶部工具栏</w:t>
      </w:r>
      <w:r>
        <w:t>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344C055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5A8C10A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控件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5C91082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2DCEF40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0A61840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EA1C80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风场选择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3BF242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① 点击风场下拉框 → ② 在组织树中选择目标风场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937964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支持关键字搜索；切换风场后全页数据自动刷新</w:t>
            </w:r>
          </w:p>
        </w:tc>
      </w:tr>
      <w:tr w14:paraId="42832D9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F1270A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时间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76CC0F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① 点击日期选择器 → ② 选择分析日期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150C88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默认昨日；变更后自动刷新</w:t>
            </w:r>
          </w:p>
        </w:tc>
      </w:tr>
    </w:tbl>
    <w:p w14:paraId="4DE2642D"/>
    <w:p w14:paraId="1F12475E">
      <w:r>
        <w:rPr>
          <w:b/>
        </w:rPr>
        <w:t>从跳转时：</w:t>
      </w:r>
      <w:r>
        <w:t xml:space="preserve"> 风场与日期自动回填，页面加载后直接展示数据。</w:t>
      </w:r>
    </w:p>
    <w:p w14:paraId="0F9CE326">
      <w:pPr>
        <w:pStyle w:val="5"/>
      </w:pPr>
      <w:r>
        <w:rPr>
          <w:rFonts w:ascii="黑体" w:hAnsi="黑体" w:eastAsia="黑体"/>
        </w:rPr>
        <w:t>4.3 风场总异常概览</w:t>
      </w:r>
    </w:p>
    <w:p w14:paraId="50C5E463">
      <w:r>
        <w:t xml:space="preserve">面板标题为 </w:t>
      </w:r>
      <w:r>
        <w:rPr>
          <w:b/>
        </w:rPr>
        <w:t>「风场总异常概览」</w:t>
      </w:r>
      <w:r>
        <w:t>，展示当前风场的异常汇总信息：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149514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59B9E68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29AE44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内容说明</w:t>
            </w:r>
          </w:p>
        </w:tc>
      </w:tr>
      <w:tr w14:paraId="7EC8729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7CA53A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异常机组数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52A60C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圆环中央数字，表示存在异常的风机总台数</w:t>
            </w:r>
          </w:p>
        </w:tc>
      </w:tr>
      <w:tr w14:paraId="6E9A912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43D4DA4">
            <w:pPr>
              <w:spacing w:after="0" w:line="240" w:lineRule="auto"/>
              <w:jc w:val="left"/>
              <w:rPr>
                <w:rFonts w:ascii="宋体" w:hAnsi="宋体" w:eastAsia="宋体"/>
                <w:b w:val="0"/>
                <w:color w:val="000000"/>
                <w:sz w:val="22"/>
              </w:rPr>
            </w:pPr>
            <w:r>
              <w:rPr>
                <w:rFonts w:ascii="宋体" w:hAnsi="宋体" w:eastAsia="宋体"/>
                <w:b w:val="0"/>
                <w:color w:val="000000"/>
                <w:sz w:val="22"/>
                <w:lang w:val="en-US" w:eastAsia="zh-CN"/>
              </w:rPr>
              <w:t>关注机组列表</w:t>
            </w:r>
          </w:p>
          <w:p w14:paraId="434B8DA4">
            <w:pPr>
              <w:spacing w:after="0" w:line="240" w:lineRule="auto"/>
              <w:jc w:val="left"/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6065EF3">
            <w:pPr>
              <w:spacing w:after="0" w:line="240" w:lineRule="auto"/>
              <w:jc w:val="left"/>
              <w:rPr>
                <w:rFonts w:hint="default"/>
                <w:lang w:val="en-US"/>
              </w:rPr>
            </w:pPr>
            <w:r>
              <w:rPr>
                <w:rFonts w:ascii="宋体" w:hAnsi="宋体" w:eastAsia="宋体"/>
                <w:b w:val="0"/>
                <w:color w:val="000000"/>
                <w:sz w:val="22"/>
                <w:lang w:val="en-US" w:eastAsia="zh-CN"/>
              </w:rPr>
              <w:t>关注机组列表</w:t>
            </w:r>
            <w:r>
              <w:rPr>
                <w:rFonts w:hint="eastAsia" w:ascii="宋体" w:hAnsi="宋体" w:eastAsia="宋体"/>
                <w:b w:val="0"/>
                <w:color w:val="000000"/>
                <w:sz w:val="22"/>
                <w:lang w:val="en-US" w:eastAsia="zh-CN"/>
              </w:rPr>
              <w:t>可快速查看详情</w:t>
            </w:r>
          </w:p>
        </w:tc>
      </w:tr>
      <w:tr w14:paraId="53624E3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0C70D6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数据感知雷达图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6A1058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各数据感知异常类型对应的异常台数分布</w:t>
            </w:r>
          </w:p>
        </w:tc>
      </w:tr>
      <w:tr w14:paraId="5A2F401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940A71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功能诊断雷达图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D3CA40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各功能诊断模块对应的异常台数分布</w:t>
            </w:r>
          </w:p>
        </w:tc>
      </w:tr>
    </w:tbl>
    <w:p w14:paraId="1F30B19E"/>
    <w:p w14:paraId="29A30F00">
      <w:r>
        <w:rPr>
          <w:b/>
        </w:rPr>
        <w:t>交互：</w:t>
      </w:r>
      <w:r>
        <w:t xml:space="preserve"> 鼠标悬停雷达图各维度顶点，提示框显示该异常类型的具体异常台数。</w:t>
      </w:r>
    </w:p>
    <w:p w14:paraId="00978CE9">
      <w:r>
        <w:drawing>
          <wp:inline distT="0" distB="0" distL="114300" distR="114300">
            <wp:extent cx="2800350" cy="3237230"/>
            <wp:effectExtent l="0" t="0" r="19050" b="13970"/>
            <wp:docPr id="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1BADD">
      <w:pPr>
        <w:pStyle w:val="5"/>
      </w:pPr>
      <w:r>
        <w:rPr>
          <w:rFonts w:ascii="黑体" w:hAnsi="黑体" w:eastAsia="黑体"/>
        </w:rPr>
        <w:t>4.4 异常类型分布热力图</w:t>
      </w:r>
    </w:p>
    <w:p w14:paraId="36CA9B8B">
      <w:r>
        <w:t>页面上方并排展示两张热力图：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564826CC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0563076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图表标题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50C073A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纵轴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495670C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横轴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6618C9E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色块含义</w:t>
            </w:r>
          </w:p>
        </w:tc>
      </w:tr>
      <w:tr w14:paraId="6501EEC8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D9D1FF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数据感知异常类型分布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16961F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数据感知异常类型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66F1E0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风机编号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2BC755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该风机在该类型上的异常占比</w:t>
            </w:r>
          </w:p>
        </w:tc>
      </w:tr>
      <w:tr w14:paraId="05BF7F9F"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5E407D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功能诊断异常类型分布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856055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功能诊断模块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184924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风机编号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EC400F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该风机在该模块上的异常占比</w:t>
            </w:r>
          </w:p>
        </w:tc>
      </w:tr>
    </w:tbl>
    <w:p w14:paraId="0355D686"/>
    <w:p w14:paraId="034DB3CA">
      <w:r>
        <w:rPr>
          <w:b/>
        </w:rPr>
        <w:t>交互操作：</w:t>
      </w:r>
    </w:p>
    <w:p w14:paraId="49A7DD5E">
      <w:pPr>
        <w:pStyle w:val="16"/>
      </w:pPr>
      <w:r>
        <w:t xml:space="preserve">将鼠标悬停在色块上，提示框显示 </w:t>
      </w:r>
      <w:r>
        <w:rPr>
          <w:rFonts w:hint="eastAsia"/>
          <w:lang w:eastAsia="zh-CN"/>
        </w:rPr>
        <w:t xml:space="preserve">  </w:t>
      </w:r>
      <w:r>
        <w:t>风机编号、异常类型、异常占比</w:t>
      </w:r>
      <w:r>
        <w:rPr>
          <w:rFonts w:hint="eastAsia"/>
          <w:lang w:eastAsia="zh-CN"/>
        </w:rPr>
        <w:t xml:space="preserve">  </w:t>
      </w:r>
      <w:r>
        <w:t>；</w:t>
      </w:r>
    </w:p>
    <w:p w14:paraId="6CF56643">
      <w:pPr>
        <w:pStyle w:val="16"/>
      </w:pPr>
      <w:r>
        <w:t>颜色越深表示异常占比越高；</w:t>
      </w:r>
    </w:p>
    <w:p w14:paraId="2EBEFABC">
      <w:pPr>
        <w:pStyle w:val="16"/>
      </w:pPr>
      <w:r>
        <w:t>无色或浅色区域表示该机组在该类型上无异常或占比较低。</w:t>
      </w:r>
    </w:p>
    <w:p w14:paraId="65D4E681">
      <w:pPr>
        <w:pStyle w:val="16"/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480050" cy="3268980"/>
            <wp:effectExtent l="0" t="0" r="6350" b="7620"/>
            <wp:docPr id="3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363A3">
      <w:pPr>
        <w:pStyle w:val="5"/>
      </w:pPr>
      <w:r>
        <w:rPr>
          <w:rFonts w:ascii="黑体" w:hAnsi="黑体" w:eastAsia="黑体"/>
        </w:rPr>
        <w:t>4.5 功能诊断 — 各模块轮播图</w:t>
      </w:r>
    </w:p>
    <w:p w14:paraId="123FBF47">
      <w:r>
        <w:t xml:space="preserve">面板标题为 </w:t>
      </w:r>
      <w:r>
        <w:rPr>
          <w:b/>
        </w:rPr>
        <w:t>「功能诊断-各模块」</w:t>
      </w:r>
      <w:r>
        <w:t>，以柱状图展示各功能诊断模块的统计数据。</w:t>
      </w:r>
    </w:p>
    <w:p w14:paraId="676F1EC2">
      <w:r>
        <w:rPr>
          <w:b/>
        </w:rPr>
        <w:t>包含模块：</w:t>
      </w:r>
      <w:r>
        <w:t xml:space="preserve"> 风速-功率、偏航系统、变桨系统、运行状态综合、气动性能等。</w:t>
      </w:r>
    </w:p>
    <w:p w14:paraId="63AF18E5">
      <w:r>
        <w:rPr>
          <w:b/>
        </w:rPr>
        <w:t>操作方式：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61D701B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7E492BD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52104BD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538410A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09BBD0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点击左箭头 ◀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77F22E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切换到上一个模块图表</w:t>
            </w:r>
          </w:p>
        </w:tc>
      </w:tr>
      <w:tr w14:paraId="0332BFC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24D045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点击右箭头 ▶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FD7C2D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切换到下一个模块图表</w:t>
            </w:r>
          </w:p>
        </w:tc>
      </w:tr>
      <w:tr w14:paraId="758F53C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CDF98A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点击底部圆点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550073E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直接跳转到对应模块图表</w:t>
            </w:r>
          </w:p>
        </w:tc>
      </w:tr>
      <w:tr w14:paraId="2112FE3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0189B7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自动轮播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B0E8DA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系统定时自动切换，无需手动操作</w:t>
            </w:r>
          </w:p>
        </w:tc>
      </w:tr>
    </w:tbl>
    <w:p w14:paraId="7A930B25">
      <w:r>
        <w:drawing>
          <wp:inline distT="0" distB="0" distL="114300" distR="114300">
            <wp:extent cx="5469890" cy="1593850"/>
            <wp:effectExtent l="0" t="0" r="16510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69890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CE051">
      <w:pPr>
        <w:pStyle w:val="5"/>
      </w:pPr>
      <w:r>
        <w:rPr>
          <w:rFonts w:ascii="黑体" w:hAnsi="黑体" w:eastAsia="黑体"/>
        </w:rPr>
        <w:t>4.6 风机列表</w:t>
      </w:r>
    </w:p>
    <w:p w14:paraId="79621A4A">
      <w:pPr>
        <w:pStyle w:val="6"/>
      </w:pPr>
      <w:r>
        <w:rPr>
          <w:rFonts w:ascii="黑体" w:hAnsi="黑体" w:eastAsia="黑体"/>
        </w:rPr>
        <w:t>4.6.1 风机名称排序</w:t>
      </w:r>
    </w:p>
    <w:p w14:paraId="330E1012">
      <w:r>
        <w:t>列表标题右侧提供排序下拉框：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2128F8D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4CCEBAF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选项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336621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32E616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F2ACED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升序（默认）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85A7CA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按风机名称自然升序排列（支持数字自然排序，如 1号、2号、10号）</w:t>
            </w:r>
          </w:p>
        </w:tc>
      </w:tr>
      <w:tr w14:paraId="5E7971F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07837A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降序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184A3C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按风机名称自然降序排列</w:t>
            </w:r>
          </w:p>
        </w:tc>
      </w:tr>
    </w:tbl>
    <w:p w14:paraId="299E17CB">
      <w:r>
        <w:drawing>
          <wp:inline distT="0" distB="0" distL="114300" distR="114300">
            <wp:extent cx="5476240" cy="2921635"/>
            <wp:effectExtent l="0" t="0" r="10160" b="24765"/>
            <wp:docPr id="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255F9">
      <w:pPr>
        <w:pStyle w:val="6"/>
      </w:pPr>
      <w:r>
        <w:rPr>
          <w:rFonts w:ascii="黑体" w:hAnsi="黑体" w:eastAsia="黑体"/>
        </w:rPr>
        <w:t>4.6.2 风机卡片内容</w:t>
      </w:r>
    </w:p>
    <w:p w14:paraId="14EC1A82">
      <w:r>
        <w:t>每张风机卡片分为两个区域：</w:t>
      </w:r>
    </w:p>
    <w:p w14:paraId="5D4E3954">
      <w:r>
        <w:rPr>
          <w:b/>
        </w:rPr>
        <w:t>功能诊断区（中央风机图标四周）：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3A87481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37DC193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指标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29C90E7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1A937B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B8CE72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风速-功率异常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1D89C9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异常占比百分比</w:t>
            </w:r>
          </w:p>
        </w:tc>
      </w:tr>
      <w:tr w14:paraId="7C2671A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E54793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偏航系统异常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CFFC04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异常占比百分比</w:t>
            </w:r>
          </w:p>
        </w:tc>
      </w:tr>
      <w:tr w14:paraId="7A727D4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0CFE26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变桨系统异常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6F9EB4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异常占比百分比</w:t>
            </w:r>
          </w:p>
        </w:tc>
      </w:tr>
      <w:tr w14:paraId="449AE27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0093B8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运行状态综合异常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842896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异常占比百分比</w:t>
            </w:r>
          </w:p>
        </w:tc>
      </w:tr>
      <w:tr w14:paraId="58BE724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C0DB0D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气动性能异常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A47359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异常占比百分比</w:t>
            </w:r>
          </w:p>
        </w:tc>
      </w:tr>
    </w:tbl>
    <w:p w14:paraId="651DA09B"/>
    <w:p w14:paraId="4FF63092">
      <w:r>
        <w:rPr>
          <w:b/>
        </w:rPr>
        <w:t>数据感知区（卡片底部）：</w:t>
      </w:r>
    </w:p>
    <w:p w14:paraId="265DFAA0">
      <w:pPr>
        <w:pStyle w:val="16"/>
      </w:pPr>
      <w:r>
        <w:t>以文字形式汇总列出该机组涉及的数据感知异常类型。</w:t>
      </w:r>
    </w:p>
    <w:p w14:paraId="0EC16623">
      <w:pPr>
        <w:pStyle w:val="6"/>
        <w:rPr>
          <w:rFonts w:ascii="黑体" w:hAnsi="黑体" w:eastAsia="黑体"/>
        </w:rPr>
      </w:pPr>
      <w:r>
        <w:rPr>
          <w:rFonts w:ascii="黑体" w:hAnsi="黑体" w:eastAsia="黑体"/>
        </w:rPr>
        <w:t>4.6.3 进入机组异常详情</w:t>
      </w:r>
    </w:p>
    <w:p w14:paraId="1FB5A10A">
      <w:r>
        <w:drawing>
          <wp:inline distT="0" distB="0" distL="114300" distR="114300">
            <wp:extent cx="2604770" cy="2049780"/>
            <wp:effectExtent l="0" t="0" r="11430" b="762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rcRect l="4501" t="5918" r="5055" b="5886"/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1018ADF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4C580FAF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7C1CCF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</w:tr>
      <w:tr w14:paraId="7955ADA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15CA6C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F77D6C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在风机列表中找到目标机组卡片</w:t>
            </w:r>
          </w:p>
        </w:tc>
      </w:tr>
      <w:tr w14:paraId="02B51A8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F5D362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E7F968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 xml:space="preserve">点击卡片右上角 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>「详情 →」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 xml:space="preserve"> 按钮</w:t>
            </w:r>
          </w:p>
        </w:tc>
      </w:tr>
      <w:tr w14:paraId="4000028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E536DE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8A7500D">
            <w:pPr>
              <w:spacing w:after="0" w:line="240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b w:val="0"/>
                <w:color w:val="000000"/>
                <w:sz w:val="22"/>
              </w:rPr>
              <w:t xml:space="preserve">页面跳转至 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>机组异常详情页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</w:p>
        </w:tc>
      </w:tr>
    </w:tbl>
    <w:p w14:paraId="00727921"/>
    <w:p w14:paraId="6C722E34">
      <w:r>
        <w:rPr>
          <w:b/>
        </w:rPr>
        <w:t>说明：</w:t>
      </w:r>
      <w:r>
        <w:t xml:space="preserve"> 从详情页点击「返回列表」后，系统自动恢复之前的 </w:t>
      </w:r>
      <w:r>
        <w:rPr>
          <w:b/>
        </w:rPr>
        <w:t>滚动位置</w:t>
      </w:r>
      <w:r>
        <w:t xml:space="preserve"> 与 </w:t>
      </w:r>
      <w:r>
        <w:rPr>
          <w:b/>
        </w:rPr>
        <w:t>风场筛选状态</w:t>
      </w:r>
      <w:r>
        <w:t>，便于继续浏览。</w:t>
      </w:r>
    </w:p>
    <w:p w14:paraId="1FF1B498"/>
    <w:p w14:paraId="57D30BCD">
      <w:pPr>
        <w:pStyle w:val="4"/>
      </w:pPr>
      <w:r>
        <w:rPr>
          <w:rFonts w:ascii="黑体" w:hAnsi="黑体" w:eastAsia="黑体"/>
        </w:rPr>
        <w:t>5. 机组异常详情页操作说明</w:t>
      </w:r>
    </w:p>
    <w:p w14:paraId="201410A7">
      <w:r>
        <w:rPr>
          <w:b/>
        </w:rPr>
        <w:t>入口路径：</w:t>
      </w:r>
      <w:r>
        <w:t xml:space="preserve"> 异常检测模块风机列表 → 点击卡片「详情」。</w:t>
      </w:r>
    </w:p>
    <w:p w14:paraId="3070543B">
      <w:r>
        <w:drawing>
          <wp:inline distT="0" distB="0" distL="114300" distR="114300">
            <wp:extent cx="5477510" cy="4254500"/>
            <wp:effectExtent l="0" t="0" r="8890" b="12700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425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4AB47">
      <w:pPr>
        <w:pStyle w:val="5"/>
      </w:pPr>
      <w:r>
        <w:rPr>
          <w:rFonts w:ascii="黑体" w:hAnsi="黑体" w:eastAsia="黑体"/>
        </w:rPr>
        <w:t>5.1 页面工具栏</w:t>
      </w:r>
    </w:p>
    <w:p w14:paraId="3059CD09">
      <w:r>
        <w:t>详情页顶部固定工具栏，包含以下控件：</w:t>
      </w:r>
    </w:p>
    <w:p w14:paraId="34C96306">
      <w:r>
        <w:drawing>
          <wp:inline distT="0" distB="0" distL="114300" distR="114300">
            <wp:extent cx="5481955" cy="622935"/>
            <wp:effectExtent l="0" t="0" r="4445" b="12065"/>
            <wp:docPr id="3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195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744C26A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A5D35C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控件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4A762B4F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0AEE0BE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3C16967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5BD015E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返回列表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7CA091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 xml:space="preserve">点击左上角 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>「← 返回列表」</w:t>
            </w:r>
            <w:r>
              <w:rPr>
                <w:b w:val="0"/>
                <w:color w:val="000000"/>
                <w:sz w:val="22"/>
                <w:lang w:eastAsia="zh-CN"/>
              </w:rPr>
              <w:t xml:space="preserve">  </w:t>
            </w:r>
            <w:r>
              <w:rPr>
                <w:b w:val="0"/>
                <w:color w:val="000000"/>
                <w:sz w:val="22"/>
              </w:rPr>
              <w:t xml:space="preserve"> 按钮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480683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返回异常检测风机列表页</w:t>
            </w:r>
          </w:p>
        </w:tc>
      </w:tr>
      <w:tr w14:paraId="19BE46C8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756CF7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模块 Tab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1EE19C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点击顶部模块标签按钮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7D7533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切换不同异常分析维度（见下表）</w:t>
            </w:r>
          </w:p>
        </w:tc>
      </w:tr>
      <w:tr w14:paraId="28C9C17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E23186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CF012C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在下拉框中选择其他风机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2F15E3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切换查看同风场下其他机组，详情数据自动刷新</w:t>
            </w:r>
          </w:p>
        </w:tc>
      </w:tr>
      <w:tr w14:paraId="34BCE46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EF9806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时间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C6DBF1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在日期选择器中选择日期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4D1F44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切换分析日期，详情数据自动刷新</w:t>
            </w:r>
          </w:p>
        </w:tc>
      </w:tr>
    </w:tbl>
    <w:p w14:paraId="33A95812"/>
    <w:p w14:paraId="0EBEA5FC">
      <w:r>
        <w:rPr>
          <w:b/>
        </w:rPr>
        <w:t>模块 Tab 列表：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507FD661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37C54A3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Tab 标识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34503C72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352ED06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分析内容</w:t>
            </w:r>
          </w:p>
        </w:tc>
      </w:tr>
      <w:tr w14:paraId="7A070BD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B66B9A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总览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C3BD44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总览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1E08C8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风机各异常类型占比饼图及多模块趋势总览</w:t>
            </w:r>
          </w:p>
        </w:tc>
      </w:tr>
      <w:tr w14:paraId="295C5377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E008F7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风速-功率异常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84167C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风速-功率异常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BAB043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风速功率相关异常的下钻分析</w:t>
            </w:r>
          </w:p>
        </w:tc>
      </w:tr>
      <w:tr w14:paraId="4ED56644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7CFE1E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偏航系统异常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92258C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偏航系统异常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28BB3B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偏航系统相关异常的下钻分析</w:t>
            </w:r>
          </w:p>
        </w:tc>
      </w:tr>
      <w:tr w14:paraId="6F4EDA1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051349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变桨系统异常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B31141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变桨系统异常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74FCF5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变桨系统相关异常的下钻分析</w:t>
            </w:r>
          </w:p>
        </w:tc>
      </w:tr>
      <w:tr w14:paraId="594DE37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C94F33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风机运行状态综合异常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F9927F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运行状态综合异常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387C91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运行状态相关异常的下钻分析</w:t>
            </w:r>
          </w:p>
        </w:tc>
      </w:tr>
      <w:tr w14:paraId="766BA059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FAD11F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气动性能异常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A45509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气动性能异常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EC4510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气动性能相关异常的下钻分析</w:t>
            </w:r>
          </w:p>
        </w:tc>
      </w:tr>
    </w:tbl>
    <w:p w14:paraId="73F99182"/>
    <w:p w14:paraId="5C88F10C">
      <w:pPr>
        <w:pStyle w:val="5"/>
      </w:pPr>
      <w:r>
        <w:rPr>
          <w:rFonts w:ascii="黑体" w:hAnsi="黑体" w:eastAsia="黑体"/>
        </w:rPr>
        <w:t xml:space="preserve">5.2 </w:t>
      </w:r>
      <w:r>
        <w:rPr>
          <w:rFonts w:hint="eastAsia" w:ascii="黑体" w:hAnsi="黑体" w:eastAsia="黑体"/>
          <w:lang w:val="en-US" w:eastAsia="zh-CN"/>
        </w:rPr>
        <w:t>异常趋势</w:t>
      </w:r>
      <w:r>
        <w:rPr>
          <w:rFonts w:ascii="黑体" w:hAnsi="黑体" w:eastAsia="黑体"/>
        </w:rPr>
        <w:t>总览 Tab</w:t>
      </w:r>
    </w:p>
    <w:p w14:paraId="76CDD00B">
      <w:r>
        <w:t>选择</w:t>
      </w:r>
      <w:r>
        <w:rPr>
          <w:b/>
        </w:rPr>
        <w:t xml:space="preserve"> </w:t>
      </w:r>
      <w:r>
        <w:rPr>
          <w:rFonts w:hint="eastAsia"/>
          <w:b/>
          <w:lang w:val="en-US" w:eastAsia="zh-CN"/>
        </w:rPr>
        <w:t>异常趋势</w:t>
      </w:r>
      <w:r>
        <w:rPr>
          <w:b/>
        </w:rPr>
        <w:t>总览</w:t>
      </w:r>
      <w:r>
        <w:t xml:space="preserve"> Tab 时，页面展示以下图表：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06620BA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3646C56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图表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0A03244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33EE139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89116D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风机异常占比（饼图）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69F09C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展示该风机各功能诊断模块异常占比</w:t>
            </w:r>
          </w:p>
        </w:tc>
      </w:tr>
      <w:tr w14:paraId="03B657C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486D46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各模块趋势图（折线图）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639E5B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各模块异常数据总数的历史趋势</w:t>
            </w:r>
          </w:p>
        </w:tc>
      </w:tr>
    </w:tbl>
    <w:p w14:paraId="05441AEC"/>
    <w:p w14:paraId="3DD29C79">
      <w:r>
        <w:rPr>
          <w:b/>
        </w:rPr>
        <w:t>趋势图时间范围切换：</w:t>
      </w:r>
      <w:r>
        <w:t xml:space="preserve"> 每个模块趋势图右上角提供 </w:t>
      </w:r>
      <w:r>
        <w:rPr>
          <w:b/>
        </w:rPr>
        <w:t>「近 7 天」</w:t>
      </w:r>
      <w:r>
        <w:t xml:space="preserve"> / </w:t>
      </w:r>
      <w:r>
        <w:rPr>
          <w:b/>
        </w:rPr>
        <w:t>「近 30 天」</w:t>
      </w:r>
      <w:r>
        <w:t xml:space="preserve"> 切换按钮，点击后图表数据按对应时间范围重新加载。</w:t>
      </w:r>
    </w:p>
    <w:p w14:paraId="3B800354">
      <w:pPr>
        <w:pStyle w:val="5"/>
      </w:pPr>
      <w:r>
        <w:rPr>
          <w:rFonts w:ascii="黑体" w:hAnsi="黑体" w:eastAsia="黑体"/>
        </w:rPr>
        <w:t>5.3 模块详情 Tab</w:t>
      </w:r>
    </w:p>
    <w:p w14:paraId="28EB3C13">
      <w:r>
        <w:t>选择任一功能诊断模块 Tab（如偏航系统异常）时，页面分为上中下三个区域：</w:t>
      </w:r>
      <w:r>
        <w:br w:type="textWrapping"/>
      </w:r>
      <w:r>
        <w:drawing>
          <wp:inline distT="0" distB="0" distL="114300" distR="114300">
            <wp:extent cx="5476240" cy="4305300"/>
            <wp:effectExtent l="0" t="0" r="10160" b="1270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E088C">
      <w:pPr>
        <w:pStyle w:val="6"/>
      </w:pPr>
      <w:r>
        <w:rPr>
          <w:rFonts w:ascii="黑体" w:hAnsi="黑体" w:eastAsia="黑体"/>
        </w:rPr>
        <w:t>5.3.1 异常项折叠面板（左侧）</w:t>
      </w:r>
    </w:p>
    <w:p w14:paraId="1D99FD00">
      <w:r>
        <w:t>以手风琴形式列出该模块下的各异常检测项：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6A25331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4C55F87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步骤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7A6E6EE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</w:t>
            </w:r>
          </w:p>
        </w:tc>
      </w:tr>
      <w:tr w14:paraId="26C368B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5696F96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B09DC1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点击某一异常项的标题行</w:t>
            </w:r>
          </w:p>
        </w:tc>
      </w:tr>
      <w:tr w14:paraId="6E32B13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AFF192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19C88B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面板展开，显示该项的详细指标</w:t>
            </w:r>
          </w:p>
        </w:tc>
      </w:tr>
      <w:tr w14:paraId="7AB99A6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553B40D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3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4327DB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再次点击标题行可收起面板</w:t>
            </w:r>
          </w:p>
        </w:tc>
      </w:tr>
    </w:tbl>
    <w:p w14:paraId="0C985AA9"/>
    <w:p w14:paraId="1B357EE6">
      <w:r>
        <w:rPr>
          <w:b/>
        </w:rPr>
        <w:t>展开后显示的字段：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636C006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5FE33E54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字段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0EDA6CAF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21C8A3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C694D3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是否异常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2A6100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标签显示「异常」（红色）或「正常」（绿色）</w:t>
            </w:r>
          </w:p>
        </w:tc>
      </w:tr>
      <w:tr w14:paraId="6747B9E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1C705A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功能诊断异常总数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BFDC20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该异常项的功能诊断记录条数</w:t>
            </w:r>
          </w:p>
        </w:tc>
      </w:tr>
      <w:tr w14:paraId="69312AC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4C122B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功能诊断异常占比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44C704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占该模块异常总量的百分比</w:t>
            </w:r>
          </w:p>
        </w:tc>
      </w:tr>
      <w:tr w14:paraId="4504F3D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7B0C90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数据感知异常类型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BCF627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关联的数据感知异常类型文字描述</w:t>
            </w:r>
          </w:p>
        </w:tc>
      </w:tr>
    </w:tbl>
    <w:p w14:paraId="26F0D551">
      <w:r>
        <w:drawing>
          <wp:inline distT="0" distB="0" distL="114300" distR="114300">
            <wp:extent cx="5486400" cy="1834515"/>
            <wp:effectExtent l="0" t="0" r="0" b="1968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BDD5">
      <w:pPr>
        <w:pStyle w:val="6"/>
      </w:pPr>
      <w:r>
        <w:rPr>
          <w:rFonts w:ascii="黑体" w:hAnsi="黑体" w:eastAsia="黑体"/>
        </w:rPr>
        <w:t>5.3.2 诊断图表区（右侧）</w:t>
      </w:r>
    </w:p>
    <w:p w14:paraId="49CA807C">
      <w:pPr>
        <w:pStyle w:val="16"/>
      </w:pPr>
      <w:r>
        <w:t xml:space="preserve">展示当前选中异常项对应的 </w:t>
      </w:r>
      <w:r>
        <w:rPr>
          <w:rFonts w:hint="eastAsia"/>
          <w:lang w:eastAsia="zh-CN"/>
        </w:rPr>
        <w:t xml:space="preserve">  </w:t>
      </w:r>
      <w:r>
        <w:t>诊断分析图表</w:t>
      </w:r>
      <w:r>
        <w:rPr>
          <w:rFonts w:hint="eastAsia"/>
          <w:lang w:eastAsia="zh-CN"/>
        </w:rPr>
        <w:t xml:space="preserve">  </w:t>
      </w:r>
      <w:r>
        <w:t>（如散点图、时序图等）；</w:t>
      </w:r>
    </w:p>
    <w:p w14:paraId="54DE87B1">
      <w:pPr>
        <w:pStyle w:val="16"/>
      </w:pPr>
      <w:r>
        <w:t xml:space="preserve">当异常项包含多个图表时，支持 </w:t>
      </w:r>
      <w:r>
        <w:rPr>
          <w:rFonts w:hint="eastAsia"/>
          <w:lang w:eastAsia="zh-CN"/>
        </w:rPr>
        <w:t xml:space="preserve">  </w:t>
      </w:r>
      <w:r>
        <w:t>左右轮播</w:t>
      </w:r>
      <w:r>
        <w:rPr>
          <w:rFonts w:hint="eastAsia"/>
          <w:lang w:eastAsia="zh-CN"/>
        </w:rPr>
        <w:t xml:space="preserve">  </w:t>
      </w:r>
      <w:r>
        <w:t xml:space="preserve"> 切换浏览；</w:t>
      </w:r>
    </w:p>
    <w:p w14:paraId="59F0CBFC">
      <w:pPr>
        <w:pStyle w:val="16"/>
      </w:pPr>
      <w:r>
        <w:t>切换左侧折叠面板中的异常项时，右侧图表同步更新。</w:t>
      </w:r>
      <w:r>
        <w:br w:type="textWrapping"/>
      </w:r>
      <w:r>
        <w:drawing>
          <wp:inline distT="0" distB="0" distL="114300" distR="114300">
            <wp:extent cx="5484495" cy="3393440"/>
            <wp:effectExtent l="0" t="0" r="1905" b="1016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4495" cy="339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D35FA">
      <w:pPr>
        <w:pStyle w:val="6"/>
      </w:pPr>
      <w:r>
        <w:rPr>
          <w:rFonts w:ascii="黑体" w:hAnsi="黑体" w:eastAsia="黑体"/>
        </w:rPr>
        <w:t>5.3.3 异常明细表（底部）</w:t>
      </w:r>
    </w:p>
    <w:p w14:paraId="16FB92DE">
      <w:r>
        <w:t>底部提供两个子 Tab 切换：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3C7CBB1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58EA77FB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子 Tab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6947E76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内容</w:t>
            </w:r>
          </w:p>
        </w:tc>
      </w:tr>
      <w:tr w14:paraId="6970E33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D42F86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数据感知异常明细表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99D73B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列出数据感知类异常记录，含异常类型、设备数据监控时间等字段</w:t>
            </w:r>
          </w:p>
        </w:tc>
      </w:tr>
      <w:tr w14:paraId="1FFD1F0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15943C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功能诊断异常明细表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ADE3C9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列出功能诊断类异常记录明细</w:t>
            </w:r>
          </w:p>
        </w:tc>
      </w:tr>
    </w:tbl>
    <w:p w14:paraId="7F2FA0FD"/>
    <w:p w14:paraId="5D256574">
      <w:r>
        <w:rPr>
          <w:b/>
        </w:rPr>
        <w:t>分页操作：</w:t>
      </w:r>
      <w:r>
        <w:t xml:space="preserve"> 表格底部显示分页控件，可通过页码或上一页/下一页按钮浏览全部记录。</w:t>
      </w:r>
    </w:p>
    <w:p w14:paraId="05363A59">
      <w:r>
        <w:drawing>
          <wp:inline distT="0" distB="0" distL="114300" distR="114300">
            <wp:extent cx="5479415" cy="2217420"/>
            <wp:effectExtent l="0" t="0" r="6985" b="1778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40C7D"/>
    <w:p w14:paraId="615C6914">
      <w:pPr>
        <w:pStyle w:val="4"/>
      </w:pPr>
      <w:r>
        <w:rPr>
          <w:rFonts w:ascii="黑体" w:hAnsi="黑体" w:eastAsia="黑体"/>
        </w:rPr>
        <w:t xml:space="preserve">6. </w:t>
      </w:r>
      <w:r>
        <w:rPr>
          <w:rFonts w:hint="eastAsia" w:ascii="黑体" w:hAnsi="黑体" w:eastAsia="黑体"/>
          <w:lang w:val="en-US" w:eastAsia="zh-CN"/>
        </w:rPr>
        <w:t>风资源</w:t>
      </w:r>
      <w:r>
        <w:rPr>
          <w:rFonts w:ascii="黑体" w:hAnsi="黑体" w:eastAsia="黑体"/>
        </w:rPr>
        <w:t>分模块操作说明</w:t>
      </w:r>
    </w:p>
    <w:p w14:paraId="5D289D8C">
      <w:r>
        <w:rPr>
          <w:b/>
        </w:rPr>
        <w:t>入口路径：</w:t>
      </w:r>
      <w:r>
        <w:t xml:space="preserve"> 左侧菜单 → </w:t>
      </w:r>
      <w:r>
        <w:rPr>
          <w:b/>
        </w:rPr>
        <w:t>风资源</w:t>
      </w:r>
      <w:r>
        <w:t>。</w:t>
      </w:r>
    </w:p>
    <w:p w14:paraId="2AC981EB">
      <w:pPr>
        <w:pStyle w:val="5"/>
      </w:pPr>
      <w:r>
        <w:rPr>
          <w:rFonts w:ascii="黑体" w:hAnsi="黑体" w:eastAsia="黑体"/>
        </w:rPr>
        <w:t>6.1 页面整体布局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7A29501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5C458F0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区域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4C97A8E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内容</w:t>
            </w:r>
          </w:p>
        </w:tc>
      </w:tr>
      <w:tr w14:paraId="6B54A2B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9C3B02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顶部筛选栏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20ABB0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风场选择、分析日期</w:t>
            </w:r>
          </w:p>
        </w:tc>
      </w:tr>
      <w:tr w14:paraId="704E654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8D6C53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Tab 切换栏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233869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「资源概览」/「尾流情况」</w:t>
            </w:r>
          </w:p>
        </w:tc>
      </w:tr>
      <w:tr w14:paraId="5CE72FD0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6A5B19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内容展示区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791FFC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对应图表与表格</w:t>
            </w:r>
          </w:p>
        </w:tc>
      </w:tr>
    </w:tbl>
    <w:p w14:paraId="66A412FA">
      <w:r>
        <w:drawing>
          <wp:inline distT="0" distB="0" distL="114300" distR="114300">
            <wp:extent cx="5474970" cy="6238875"/>
            <wp:effectExtent l="0" t="0" r="11430" b="9525"/>
            <wp:docPr id="24" name="图片 24" descr="/Users/liujiejie/Library/Containers/com.kingsoft.wpsoffice.mac/Data/tmp/photoeditapp/20260703152156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/Users/liujiejie/Library/Containers/com.kingsoft.wpsoffice.mac/Data/tmp/photoeditapp/20260703152156/temp.pngtemp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74970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A77A0">
      <w:pPr>
        <w:pStyle w:val="5"/>
      </w:pPr>
      <w:r>
        <w:rPr>
          <w:rFonts w:ascii="黑体" w:hAnsi="黑体" w:eastAsia="黑体"/>
        </w:rPr>
        <w:t>6.2 查询条件设置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200497E4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69C5DB48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控件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8781B6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操作步骤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23873A6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3B23AC93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99DA30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E2F532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① 点击风场下拉框 → ② 选择风场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D165FD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支持搜索；选择后自动加载</w:t>
            </w:r>
          </w:p>
        </w:tc>
      </w:tr>
      <w:tr w14:paraId="08B399AF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9BD647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时间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A059EC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① 点击日期选择器 → ② 选择日期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AEF6D5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默认昨日；变更后自动刷新</w:t>
            </w:r>
          </w:p>
        </w:tc>
      </w:tr>
    </w:tbl>
    <w:p w14:paraId="4864A68C"/>
    <w:p w14:paraId="3DAE1013">
      <w:pPr>
        <w:pStyle w:val="5"/>
      </w:pPr>
      <w:r>
        <w:rPr>
          <w:rFonts w:ascii="黑体" w:hAnsi="黑体" w:eastAsia="黑体"/>
        </w:rPr>
        <w:t>6.3 Tab 切换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61A4F23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75F72E5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Tab 名称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54A5A79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功能概述</w:t>
            </w:r>
          </w:p>
        </w:tc>
      </w:tr>
      <w:tr w14:paraId="5D7C345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C64545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资源概览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006B07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各机组风速概率分布曲线、风向玫瑰图</w:t>
            </w:r>
          </w:p>
        </w:tc>
      </w:tr>
      <w:tr w14:paraId="685589F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19D0EF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尾流情况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FFE1F1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速度亏损分布、置信度散点、柱状对比及明细表</w:t>
            </w:r>
          </w:p>
        </w:tc>
      </w:tr>
    </w:tbl>
    <w:p w14:paraId="6468D31B"/>
    <w:p w14:paraId="71CA45F4">
      <w:pPr>
        <w:pStyle w:val="5"/>
      </w:pPr>
      <w:r>
        <w:rPr>
          <w:rFonts w:ascii="黑体" w:hAnsi="黑体" w:eastAsia="黑体"/>
        </w:rPr>
        <w:t>6.4 资源概览 Tab</w:t>
      </w:r>
    </w:p>
    <w:p w14:paraId="72B6B405">
      <w:pPr>
        <w:pStyle w:val="6"/>
        <w:rPr>
          <w:rFonts w:ascii="黑体" w:hAnsi="黑体" w:eastAsia="黑体"/>
        </w:rPr>
      </w:pPr>
      <w:r>
        <w:rPr>
          <w:rFonts w:ascii="黑体" w:hAnsi="黑体" w:eastAsia="黑体"/>
        </w:rPr>
        <w:t>6.4.1 各机组风速分布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4A612F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7136DE4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项目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75FAED99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71EA594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C4A187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图表类型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0DF5EB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多曲线概率密度图</w:t>
            </w:r>
          </w:p>
        </w:tc>
      </w:tr>
      <w:tr w14:paraId="2F490BEF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2E3902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图表含义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31318B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对比展示风场内各机组的风速概率密度分布</w:t>
            </w:r>
          </w:p>
        </w:tc>
      </w:tr>
      <w:tr w14:paraId="4CB369B7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09989B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交互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A87B3A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鼠标悬停曲线可查看对应 风速（m/s） 及 概率密度 数值</w:t>
            </w:r>
          </w:p>
        </w:tc>
      </w:tr>
      <w:tr w14:paraId="2793F0BB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BC5C61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无数据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E211040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显示「暂无风速分布数据」提示文字</w:t>
            </w:r>
          </w:p>
        </w:tc>
      </w:tr>
    </w:tbl>
    <w:p w14:paraId="4D78968A">
      <w:pPr>
        <w:pStyle w:val="16"/>
        <w:numPr>
          <w:ilvl w:val="0"/>
          <w:numId w:val="0"/>
        </w:numPr>
        <w:ind w:leftChars="0"/>
      </w:pPr>
    </w:p>
    <w:p w14:paraId="7F3521D4">
      <w:pPr>
        <w:pStyle w:val="16"/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479415" cy="2016125"/>
            <wp:effectExtent l="0" t="0" r="6985" b="158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201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BED34">
      <w:pPr>
        <w:pStyle w:val="6"/>
      </w:pPr>
      <w:r>
        <w:rPr>
          <w:rFonts w:ascii="黑体" w:hAnsi="黑体" w:eastAsia="黑体"/>
        </w:rPr>
        <w:t>6.4.2 风向玫瑰图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7D158A56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4499161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项目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68C4C71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0E9BA0EC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4F5931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布局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D430E1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按机组分格网格排列，每格带边框；机组编号显示在玫瑰图下方</w:t>
            </w:r>
          </w:p>
        </w:tc>
      </w:tr>
      <w:tr w14:paraId="3B6F1871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2ECFFA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图表含义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1CCA99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展示各机组不同风向、风速段的出现频率（N 为正北方向）</w:t>
            </w:r>
          </w:p>
        </w:tc>
      </w:tr>
      <w:tr w14:paraId="1122770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12F83A9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图例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3FBE2D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图表底部以色块标注各风速段及其对应颜色</w:t>
            </w:r>
          </w:p>
        </w:tc>
      </w:tr>
      <w:tr w14:paraId="593CC2F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A4449F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无数据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9BFC0D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显示「暂无风向玫瑰图数据」提示文字</w:t>
            </w:r>
          </w:p>
        </w:tc>
      </w:tr>
    </w:tbl>
    <w:p w14:paraId="0635E03F">
      <w:pPr>
        <w:pStyle w:val="16"/>
        <w:numPr>
          <w:ilvl w:val="0"/>
          <w:numId w:val="0"/>
        </w:numPr>
        <w:ind w:leftChars="0"/>
      </w:pPr>
      <w:r>
        <w:br w:type="textWrapping"/>
      </w:r>
      <w:r>
        <w:drawing>
          <wp:inline distT="0" distB="0" distL="114300" distR="114300">
            <wp:extent cx="5475605" cy="3068320"/>
            <wp:effectExtent l="0" t="0" r="10795" b="508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75605" cy="306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85259">
      <w:pPr>
        <w:pStyle w:val="5"/>
      </w:pPr>
      <w:r>
        <w:rPr>
          <w:rFonts w:ascii="黑体" w:hAnsi="黑体" w:eastAsia="黑体"/>
        </w:rPr>
        <w:t>6.5 尾流情况 Tab</w:t>
      </w:r>
    </w:p>
    <w:p w14:paraId="36DE0785">
      <w:pPr>
        <w:pStyle w:val="6"/>
      </w:pPr>
      <w:r>
        <w:rPr>
          <w:rFonts w:ascii="黑体" w:hAnsi="黑体" w:eastAsia="黑体"/>
        </w:rPr>
        <w:t>6.5.1 速度与损失分布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48874403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2F31A9F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图表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4DA3424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交互</w:t>
            </w:r>
          </w:p>
        </w:tc>
      </w:tr>
      <w:tr w14:paraId="23C3D17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334786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左侧：尾流速度亏损分布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9A61BB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图片形式时可点击放大预览</w:t>
            </w:r>
          </w:p>
        </w:tc>
      </w:tr>
      <w:tr w14:paraId="65A48285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BB922A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右侧：尾流损失置信度散点图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E2C07F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悬停查看速度损耗及置信度</w:t>
            </w:r>
          </w:p>
        </w:tc>
      </w:tr>
    </w:tbl>
    <w:p w14:paraId="10B2704F">
      <w:r>
        <w:drawing>
          <wp:inline distT="0" distB="0" distL="114300" distR="114300">
            <wp:extent cx="5476875" cy="1875790"/>
            <wp:effectExtent l="0" t="0" r="9525" b="381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187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8DCC4">
      <w:pPr>
        <w:pStyle w:val="6"/>
      </w:pPr>
      <w:r>
        <w:rPr>
          <w:rFonts w:ascii="黑体" w:hAnsi="黑体" w:eastAsia="黑体"/>
        </w:rPr>
        <w:t>6.5.2 尾流影响评估</w:t>
      </w:r>
    </w:p>
    <w:p w14:paraId="25A0618F">
      <w:r>
        <w:t xml:space="preserve">标题为 </w:t>
      </w:r>
      <w:r>
        <w:rPr>
          <w:b/>
        </w:rPr>
        <w:t>「尾流影响评估」</w:t>
      </w:r>
      <w:r>
        <w:t>，包含柱状图与明细表：</w:t>
      </w:r>
    </w:p>
    <w:p w14:paraId="61C2D80C">
      <w:r>
        <w:rPr>
          <w:b/>
        </w:rPr>
        <w:t>柱状图：</w:t>
      </w:r>
    </w:p>
    <w:p w14:paraId="49144916">
      <w:pPr>
        <w:pStyle w:val="16"/>
      </w:pPr>
      <w:r>
        <w:t xml:space="preserve">两张柱状图采用 </w:t>
      </w:r>
      <w:r>
        <w:rPr>
          <w:b/>
        </w:rPr>
        <w:t>上下单列</w:t>
      </w:r>
      <w:r>
        <w:t xml:space="preserve"> 布局（先尾流速度亏损，后附加湍流强度）；</w:t>
      </w:r>
    </w:p>
    <w:p w14:paraId="0A14F67F">
      <w:pPr>
        <w:pStyle w:val="16"/>
      </w:pPr>
      <w:r>
        <w:t>鼠标悬停柱体可查看具体数值；发电量相关提示以百分比形式展示。</w:t>
      </w:r>
    </w:p>
    <w:p w14:paraId="49923968">
      <w:pPr>
        <w:rPr>
          <w:rFonts w:hint="eastAsia" w:eastAsia="宋体"/>
          <w:lang w:eastAsia="zh-CN"/>
        </w:rPr>
      </w:pPr>
      <w:r>
        <w:br w:type="textWrapping"/>
      </w:r>
      <w:r>
        <w:rPr>
          <w:rFonts w:hint="eastAsia" w:eastAsia="宋体"/>
          <w:lang w:eastAsia="zh-CN"/>
        </w:rPr>
        <w:drawing>
          <wp:inline distT="0" distB="0" distL="114300" distR="114300">
            <wp:extent cx="5484495" cy="2868295"/>
            <wp:effectExtent l="0" t="0" r="1905" b="1905"/>
            <wp:docPr id="29" name="图片 29" descr="2950da7428483e5a4cb6bf74c6189b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2950da7428483e5a4cb6bf74c6189b5e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4495" cy="286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47569">
      <w:r>
        <w:rPr>
          <w:b/>
        </w:rPr>
        <w:t>明细表工具栏：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E04E798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0C47D28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控件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8FE1F5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1F76E164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3D3893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筛选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3F987F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可按「全部 / 受尾流影响 / 不受尾流影响」过滤表格行</w:t>
            </w:r>
          </w:p>
        </w:tc>
      </w:tr>
    </w:tbl>
    <w:p w14:paraId="118E32B3"/>
    <w:p w14:paraId="7DE38698">
      <w:r>
        <w:rPr>
          <w:b/>
        </w:rPr>
        <w:t>明细表字段说明：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3B3DAA79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546EE66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列名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8CA8EB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说明</w:t>
            </w:r>
          </w:p>
        </w:tc>
      </w:tr>
      <w:tr w14:paraId="2161A09D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BC6AF9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风机名称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92AB07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机组标识名称；列标题旁有排序按钮</w:t>
            </w:r>
          </w:p>
        </w:tc>
      </w:tr>
      <w:tr w14:paraId="1CA6D0C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90CB0E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是否受尾流影响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2EB2E74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「是」或「否」，以颜色区分</w:t>
            </w:r>
          </w:p>
        </w:tc>
      </w:tr>
      <w:tr w14:paraId="14181B72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FA48316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附加湍流强度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4A48EB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数值，按阈值高低以不同颜色显示；列标题旁有排序按钮</w:t>
            </w:r>
          </w:p>
        </w:tc>
      </w:tr>
      <w:tr w14:paraId="6A940B4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D9DB14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尾流速度损耗（m/s）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F0DE75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尾流引起的速度损失值；列标题旁有排序按钮</w:t>
            </w:r>
          </w:p>
        </w:tc>
      </w:tr>
      <w:tr w14:paraId="62D39F4E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A8F420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置信度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9260BA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分析结果可信程度（接口原值展示）；列标题旁有排序按钮</w:t>
            </w:r>
          </w:p>
        </w:tc>
      </w:tr>
      <w:tr w14:paraId="1DEC677A"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733E48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尾流速度亏损分布图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1F7316C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缩略图，点击可放大预览完整分布图</w:t>
            </w:r>
          </w:p>
        </w:tc>
      </w:tr>
    </w:tbl>
    <w:p w14:paraId="64511AA0"/>
    <w:p w14:paraId="3EBEA3A4">
      <w:r>
        <w:rPr>
          <w:b/>
        </w:rPr>
        <w:t>表头排序：</w:t>
      </w:r>
    </w:p>
    <w:p w14:paraId="5DCD6B64">
      <w:pPr>
        <w:pStyle w:val="16"/>
      </w:pPr>
      <w:r>
        <w:t xml:space="preserve">点击 </w:t>
      </w:r>
      <w:r>
        <w:rPr>
          <w:b/>
        </w:rPr>
        <w:t>风机名称、附加湍流强度、尾流速度损耗（m/s）、置信度</w:t>
      </w:r>
      <w:r>
        <w:t xml:space="preserve"> 列标题旁的排序图标可切换升序/降序；</w:t>
      </w:r>
    </w:p>
    <w:p w14:paraId="43D8BED5">
      <w:pPr>
        <w:pStyle w:val="16"/>
      </w:pPr>
      <w:r>
        <w:t xml:space="preserve">风机名称按 </w:t>
      </w:r>
      <w:r>
        <w:rPr>
          <w:b/>
        </w:rPr>
        <w:t>自然排序</w:t>
      </w:r>
      <w:r>
        <w:t>（如 04、09、12、13 的顺序），非简单字符串排序；</w:t>
      </w:r>
    </w:p>
    <w:p w14:paraId="424D656B">
      <w:pPr>
        <w:pStyle w:val="16"/>
      </w:pPr>
      <w:r>
        <w:t>当前排序列图标高亮，再次点击同一列可在升序与降序间切换。</w:t>
      </w:r>
    </w:p>
    <w:p w14:paraId="770E0D27">
      <w:r>
        <w:rPr>
          <w:b/>
        </w:rPr>
        <w:t>分页：</w:t>
      </w:r>
      <w:r>
        <w:t xml:space="preserve"> 表格底部提供首页/上一页/下一页/末页及每页条数选择，可浏览全部机组。</w:t>
      </w:r>
      <w:r>
        <w:drawing>
          <wp:inline distT="0" distB="0" distL="114300" distR="114300">
            <wp:extent cx="5471160" cy="2495550"/>
            <wp:effectExtent l="0" t="0" r="15240" b="1905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7116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7FA8C">
      <w:pPr>
        <w:pStyle w:val="4"/>
      </w:pPr>
      <w:r>
        <w:rPr>
          <w:rFonts w:hint="eastAsia" w:ascii="黑体" w:hAnsi="黑体" w:eastAsia="黑体"/>
          <w:lang w:val="en-US" w:eastAsia="zh-CN"/>
        </w:rPr>
        <w:t>7</w:t>
      </w:r>
      <w:r>
        <w:rPr>
          <w:rFonts w:ascii="黑体" w:hAnsi="黑体" w:eastAsia="黑体"/>
        </w:rPr>
        <w:t>. 常见问题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2F28FBD0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259FAD18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问题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1DB60201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可能原因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7375E"/>
          </w:tcPr>
          <w:p w14:paraId="71A9BD1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处理建议</w:t>
            </w:r>
          </w:p>
        </w:tc>
      </w:tr>
      <w:tr w14:paraId="2AED3FD5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2F1B3FC1">
            <w:pPr>
              <w:spacing w:after="0" w:line="240" w:lineRule="auto"/>
              <w:jc w:val="left"/>
            </w:pPr>
            <w:r>
              <w:rPr>
                <w:rFonts w:hint="eastAsia"/>
                <w:b w:val="0"/>
                <w:color w:val="000000"/>
                <w:sz w:val="22"/>
                <w:lang w:val="en-US" w:eastAsia="zh-CN"/>
              </w:rPr>
              <w:t>关注</w:t>
            </w:r>
            <w:bookmarkStart w:id="0" w:name="_GoBack"/>
            <w:bookmarkEnd w:id="0"/>
            <w:r>
              <w:rPr>
                <w:b w:val="0"/>
                <w:color w:val="000000"/>
                <w:sz w:val="22"/>
              </w:rPr>
              <w:t>台数为 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7807FDF2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该时段无异常记录或风场/日期选择有误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1B9E22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确认查询条件，或确认该时段确实无异常</w:t>
            </w:r>
          </w:p>
        </w:tc>
      </w:tr>
      <w:tr w14:paraId="7152E7A8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E35AE8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热力图空白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7B148D1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风场下无风机数据或分析结果未生成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3C2E78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切换有数据的风场和日期重试</w:t>
            </w:r>
          </w:p>
        </w:tc>
      </w:tr>
      <w:tr w14:paraId="62E65712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37BD47B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详情页图表不显示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6EF0AA5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未选择风机或该异常项无图表数据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0DF66FB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确认风机下拉框已选中目标机组</w:t>
            </w:r>
          </w:p>
        </w:tc>
      </w:tr>
      <w:tr w14:paraId="1E52064A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15E16D7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从跳转参数丢失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07D48AE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未通过表格链接跳转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9E2734D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须点击异常 Tab 表格中的风场名称链接跳转</w:t>
            </w:r>
          </w:p>
        </w:tc>
      </w:tr>
      <w:tr w14:paraId="1D21560C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1D39229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明细表无记录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0F3A7173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当前异常项可能仅有单一类型异常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CE6F2"/>
          </w:tcPr>
          <w:p w14:paraId="4716A69F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切换底部「数据感知」/「功能诊断」子 Tab 查看</w:t>
            </w:r>
          </w:p>
        </w:tc>
      </w:tr>
      <w:tr w14:paraId="3DE134CB"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769B80A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返回列表后位置不对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89CB288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浏览器缓存或页面状态异常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E1F2795">
            <w:pPr>
              <w:spacing w:after="0" w:line="240" w:lineRule="auto"/>
              <w:jc w:val="left"/>
            </w:pPr>
            <w:r>
              <w:rPr>
                <w:b w:val="0"/>
                <w:color w:val="000000"/>
                <w:sz w:val="22"/>
              </w:rPr>
              <w:t>刷新页面后重新进入详情再返回</w:t>
            </w:r>
          </w:p>
        </w:tc>
      </w:tr>
    </w:tbl>
    <w:p w14:paraId="1978E6AD"/>
    <w:p w14:paraId="1D5394FB">
      <w:pPr>
        <w:jc w:val="center"/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altName w:val="Times New Roman"/>
    <w:panose1 w:val="020B0600000000000000"/>
    <w:charset w:val="00"/>
    <w:family w:val="auto"/>
    <w:pitch w:val="default"/>
    <w:sig w:usb0="00000000" w:usb1="00000000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PingFang S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B39FF7"/>
    <w:rsid w:val="13D7E627"/>
    <w:rsid w:val="187A66B9"/>
    <w:rsid w:val="197F0008"/>
    <w:rsid w:val="19B6DF50"/>
    <w:rsid w:val="1B6B7A6F"/>
    <w:rsid w:val="1BDD13D1"/>
    <w:rsid w:val="1C7FAFF5"/>
    <w:rsid w:val="1CDE8CE1"/>
    <w:rsid w:val="1D564D59"/>
    <w:rsid w:val="1FF1D667"/>
    <w:rsid w:val="25C166D8"/>
    <w:rsid w:val="27AF1433"/>
    <w:rsid w:val="2E7FE76B"/>
    <w:rsid w:val="30F95A67"/>
    <w:rsid w:val="337EFA80"/>
    <w:rsid w:val="35BF4BEE"/>
    <w:rsid w:val="36E7313F"/>
    <w:rsid w:val="37C7B7ED"/>
    <w:rsid w:val="37EB6E66"/>
    <w:rsid w:val="37F47EED"/>
    <w:rsid w:val="38FEC378"/>
    <w:rsid w:val="396FDE15"/>
    <w:rsid w:val="3A7B7BFD"/>
    <w:rsid w:val="3AB44C73"/>
    <w:rsid w:val="3AFA5849"/>
    <w:rsid w:val="3BD6222B"/>
    <w:rsid w:val="3D5B3409"/>
    <w:rsid w:val="3DDF17FA"/>
    <w:rsid w:val="3DED936A"/>
    <w:rsid w:val="3DF94810"/>
    <w:rsid w:val="3E9E410B"/>
    <w:rsid w:val="3ED84E75"/>
    <w:rsid w:val="3EFEDDB3"/>
    <w:rsid w:val="3F581D99"/>
    <w:rsid w:val="3FBD0037"/>
    <w:rsid w:val="3FBD80B6"/>
    <w:rsid w:val="3FFFF96C"/>
    <w:rsid w:val="4DD7C65E"/>
    <w:rsid w:val="55AA4177"/>
    <w:rsid w:val="55CB23E0"/>
    <w:rsid w:val="57DF5EFD"/>
    <w:rsid w:val="59C73622"/>
    <w:rsid w:val="5ABBCCAB"/>
    <w:rsid w:val="5B3FD7EE"/>
    <w:rsid w:val="5E7794C9"/>
    <w:rsid w:val="5EEB183D"/>
    <w:rsid w:val="5F7B9849"/>
    <w:rsid w:val="5F7F0E4D"/>
    <w:rsid w:val="5FE56DE7"/>
    <w:rsid w:val="5FE73545"/>
    <w:rsid w:val="5FEF4228"/>
    <w:rsid w:val="5FFA67E2"/>
    <w:rsid w:val="5FFE771E"/>
    <w:rsid w:val="615DBC7B"/>
    <w:rsid w:val="62DCE154"/>
    <w:rsid w:val="67B9E46F"/>
    <w:rsid w:val="67D77601"/>
    <w:rsid w:val="6B7FA918"/>
    <w:rsid w:val="6BADC942"/>
    <w:rsid w:val="6BFCB3B9"/>
    <w:rsid w:val="6CFFD4DE"/>
    <w:rsid w:val="6D7F733F"/>
    <w:rsid w:val="6DCB2C02"/>
    <w:rsid w:val="6DF30EDF"/>
    <w:rsid w:val="6E8BB9EF"/>
    <w:rsid w:val="6EFF39A3"/>
    <w:rsid w:val="6F3FD36F"/>
    <w:rsid w:val="6F7C10B1"/>
    <w:rsid w:val="6F7F36A8"/>
    <w:rsid w:val="6FB87C69"/>
    <w:rsid w:val="6FBFC109"/>
    <w:rsid w:val="6FCDDB7B"/>
    <w:rsid w:val="6FDC67C6"/>
    <w:rsid w:val="6FFBA8E1"/>
    <w:rsid w:val="6FFD7D55"/>
    <w:rsid w:val="70B39C3C"/>
    <w:rsid w:val="717D13E6"/>
    <w:rsid w:val="725F0F1D"/>
    <w:rsid w:val="739F44E2"/>
    <w:rsid w:val="73F3BE92"/>
    <w:rsid w:val="73FFC8D9"/>
    <w:rsid w:val="746D7551"/>
    <w:rsid w:val="76BF73FE"/>
    <w:rsid w:val="76DFACE2"/>
    <w:rsid w:val="777F159D"/>
    <w:rsid w:val="77872FC9"/>
    <w:rsid w:val="77EBA3CA"/>
    <w:rsid w:val="77FB2DA3"/>
    <w:rsid w:val="77FD72E6"/>
    <w:rsid w:val="77FEB484"/>
    <w:rsid w:val="78B94B9A"/>
    <w:rsid w:val="79FFC44B"/>
    <w:rsid w:val="7AEFD992"/>
    <w:rsid w:val="7AFE1F88"/>
    <w:rsid w:val="7AFF0881"/>
    <w:rsid w:val="7BA710CA"/>
    <w:rsid w:val="7BCC1B47"/>
    <w:rsid w:val="7BE76D38"/>
    <w:rsid w:val="7BFD41B6"/>
    <w:rsid w:val="7BFF6FD1"/>
    <w:rsid w:val="7C3F4053"/>
    <w:rsid w:val="7CFEE366"/>
    <w:rsid w:val="7D3CE1AC"/>
    <w:rsid w:val="7D5DA592"/>
    <w:rsid w:val="7D7F7361"/>
    <w:rsid w:val="7DFF9236"/>
    <w:rsid w:val="7E37CED6"/>
    <w:rsid w:val="7E6DA11B"/>
    <w:rsid w:val="7E7B4510"/>
    <w:rsid w:val="7E97FB48"/>
    <w:rsid w:val="7EBDD23C"/>
    <w:rsid w:val="7EDFB0D4"/>
    <w:rsid w:val="7EF7071A"/>
    <w:rsid w:val="7EFF1463"/>
    <w:rsid w:val="7EFF9E09"/>
    <w:rsid w:val="7F1F416D"/>
    <w:rsid w:val="7F3D3949"/>
    <w:rsid w:val="7F3FD563"/>
    <w:rsid w:val="7F4FEBBA"/>
    <w:rsid w:val="7F5E7F9A"/>
    <w:rsid w:val="7F6B29C8"/>
    <w:rsid w:val="7F7CDEE3"/>
    <w:rsid w:val="7FA2DEE7"/>
    <w:rsid w:val="7FCCD737"/>
    <w:rsid w:val="7FDF8E9F"/>
    <w:rsid w:val="7FED2DDA"/>
    <w:rsid w:val="7FEF889E"/>
    <w:rsid w:val="7FF284BB"/>
    <w:rsid w:val="7FF28795"/>
    <w:rsid w:val="7FF7CE7C"/>
    <w:rsid w:val="7FF7E9F7"/>
    <w:rsid w:val="7FFAE292"/>
    <w:rsid w:val="7FFD0088"/>
    <w:rsid w:val="7FFF3583"/>
    <w:rsid w:val="7FFF579A"/>
    <w:rsid w:val="8B6958B0"/>
    <w:rsid w:val="93DE0A46"/>
    <w:rsid w:val="97DFBE0E"/>
    <w:rsid w:val="98F9E566"/>
    <w:rsid w:val="9B694A24"/>
    <w:rsid w:val="9BEFB8A6"/>
    <w:rsid w:val="9E4F7501"/>
    <w:rsid w:val="9EB0EA84"/>
    <w:rsid w:val="9F572A08"/>
    <w:rsid w:val="9FD87F45"/>
    <w:rsid w:val="A6EFFC4B"/>
    <w:rsid w:val="A7AF7B0D"/>
    <w:rsid w:val="A7FFCC4C"/>
    <w:rsid w:val="A9025CFC"/>
    <w:rsid w:val="AC768241"/>
    <w:rsid w:val="AEBBCDBA"/>
    <w:rsid w:val="AF592443"/>
    <w:rsid w:val="AFAEAC53"/>
    <w:rsid w:val="AFAFF744"/>
    <w:rsid w:val="AFB92307"/>
    <w:rsid w:val="B6CF3C21"/>
    <w:rsid w:val="B77F3D9B"/>
    <w:rsid w:val="B7DF5B7E"/>
    <w:rsid w:val="B7E74B35"/>
    <w:rsid w:val="B7FC9CAF"/>
    <w:rsid w:val="B9FFC640"/>
    <w:rsid w:val="BBEB2387"/>
    <w:rsid w:val="BCD7F777"/>
    <w:rsid w:val="BD378434"/>
    <w:rsid w:val="BDFDA8BF"/>
    <w:rsid w:val="BDFEB867"/>
    <w:rsid w:val="BEFF8A7F"/>
    <w:rsid w:val="BF1911D4"/>
    <w:rsid w:val="BF8D6BD9"/>
    <w:rsid w:val="BFAA264D"/>
    <w:rsid w:val="BFEF75AD"/>
    <w:rsid w:val="BFF4B3FD"/>
    <w:rsid w:val="BFF5A94C"/>
    <w:rsid w:val="BFFF3EBF"/>
    <w:rsid w:val="CA2A94AC"/>
    <w:rsid w:val="CFAD40EE"/>
    <w:rsid w:val="D4E600F5"/>
    <w:rsid w:val="D58F1F15"/>
    <w:rsid w:val="D67BF258"/>
    <w:rsid w:val="D96DACE8"/>
    <w:rsid w:val="D99F9198"/>
    <w:rsid w:val="D9FC716D"/>
    <w:rsid w:val="DBFDF062"/>
    <w:rsid w:val="DDBDC7AA"/>
    <w:rsid w:val="DE8DBAA0"/>
    <w:rsid w:val="DEFA726F"/>
    <w:rsid w:val="DEFCE5E4"/>
    <w:rsid w:val="DF6AE2CC"/>
    <w:rsid w:val="DF7D3964"/>
    <w:rsid w:val="DF9F70C6"/>
    <w:rsid w:val="DFBA9A4A"/>
    <w:rsid w:val="DFDFC6B9"/>
    <w:rsid w:val="DFF8D56B"/>
    <w:rsid w:val="DFFF6F53"/>
    <w:rsid w:val="E15FF83E"/>
    <w:rsid w:val="E37561EF"/>
    <w:rsid w:val="E725CAF6"/>
    <w:rsid w:val="EADD5039"/>
    <w:rsid w:val="EB6FB4A0"/>
    <w:rsid w:val="EB7F93E2"/>
    <w:rsid w:val="EBB7C432"/>
    <w:rsid w:val="EBFF7781"/>
    <w:rsid w:val="EC5D3954"/>
    <w:rsid w:val="EC7FCBFD"/>
    <w:rsid w:val="EDF74F62"/>
    <w:rsid w:val="EEFDB892"/>
    <w:rsid w:val="EF0F53EC"/>
    <w:rsid w:val="EF9CF71A"/>
    <w:rsid w:val="EFBD521C"/>
    <w:rsid w:val="EFD6D506"/>
    <w:rsid w:val="EFE87659"/>
    <w:rsid w:val="EFFA50CC"/>
    <w:rsid w:val="EFFC1943"/>
    <w:rsid w:val="F30D5992"/>
    <w:rsid w:val="F3F7B393"/>
    <w:rsid w:val="F3F83C93"/>
    <w:rsid w:val="F3FFB878"/>
    <w:rsid w:val="F556AF31"/>
    <w:rsid w:val="F5ECD70A"/>
    <w:rsid w:val="F5F95BAD"/>
    <w:rsid w:val="F61FC9AE"/>
    <w:rsid w:val="F6BF9EE1"/>
    <w:rsid w:val="F6DEBDC1"/>
    <w:rsid w:val="F6EEB3F6"/>
    <w:rsid w:val="F6EFCDFC"/>
    <w:rsid w:val="F7BDD83D"/>
    <w:rsid w:val="F7D7EB48"/>
    <w:rsid w:val="F7DF455C"/>
    <w:rsid w:val="F7EE4B9F"/>
    <w:rsid w:val="F7FACD00"/>
    <w:rsid w:val="F7FC5EA9"/>
    <w:rsid w:val="F9CF87D1"/>
    <w:rsid w:val="F9D97EBE"/>
    <w:rsid w:val="FA7E4630"/>
    <w:rsid w:val="FA9F907B"/>
    <w:rsid w:val="FB6EA875"/>
    <w:rsid w:val="FBE7185A"/>
    <w:rsid w:val="FBF6F248"/>
    <w:rsid w:val="FBFB735D"/>
    <w:rsid w:val="FBFD5682"/>
    <w:rsid w:val="FC9D2E4D"/>
    <w:rsid w:val="FCA693C7"/>
    <w:rsid w:val="FCB757CE"/>
    <w:rsid w:val="FCFD009E"/>
    <w:rsid w:val="FD9EA6C8"/>
    <w:rsid w:val="FDDFF22B"/>
    <w:rsid w:val="FDE93CB9"/>
    <w:rsid w:val="FDEB6C9D"/>
    <w:rsid w:val="FDFF24C4"/>
    <w:rsid w:val="FEBFB398"/>
    <w:rsid w:val="FEECF1C1"/>
    <w:rsid w:val="FEEEC16D"/>
    <w:rsid w:val="FF3FA9DF"/>
    <w:rsid w:val="FF5B26A4"/>
    <w:rsid w:val="FF64CE82"/>
    <w:rsid w:val="FF6F8BF1"/>
    <w:rsid w:val="FF76BBC2"/>
    <w:rsid w:val="FF776825"/>
    <w:rsid w:val="FF7F4E1F"/>
    <w:rsid w:val="FFAF22A1"/>
    <w:rsid w:val="FFB2B50A"/>
    <w:rsid w:val="FFBE1EAD"/>
    <w:rsid w:val="FFE7402D"/>
    <w:rsid w:val="FFF1C94D"/>
    <w:rsid w:val="FFF6D32A"/>
    <w:rsid w:val="FFFA4A1D"/>
    <w:rsid w:val="FFFB3AD1"/>
    <w:rsid w:val="FFFBCBB0"/>
    <w:rsid w:val="FFFE9AA8"/>
    <w:rsid w:val="FFFEC8D8"/>
    <w:rsid w:val="FFFF216B"/>
    <w:rsid w:val="FFFF31D0"/>
    <w:rsid w:val="FFFF6264"/>
    <w:rsid w:val="FFFF8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numbering" Target="numbering.xml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2013-12-26T07:15:00Z</dcterms:created>
  <dc:creator>python-docx</dc:creator>
  <dc:description>generated by python-docx</dc:description>
  <cp:lastModifiedBy>六十三</cp:lastModifiedBy>
  <dcterms:modified xsi:type="dcterms:W3CDTF">2026-07-10T16:42:39Z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81BB5B7E4FB5646BD6AF506A829FCC4E_43</vt:lpwstr>
  </property>
</Properties>
</file>