
<file path=[Content_Types].xml><?xml version="1.0" encoding="utf-8"?>
<Types xmlns="http://schemas.openxmlformats.org/package/2006/content-types">
  <Default Extension="xml" ContentType="application/xml"/>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B6262D">
      <w:pPr>
        <w:wordWrap w:val="0"/>
        <w:snapToGrid w:val="0"/>
        <w:spacing w:line="400" w:lineRule="atLeast"/>
        <w:rPr>
          <w:rFonts w:ascii="Times New Roman" w:hAnsi="Times New Roman" w:eastAsia="宋体" w:cs="Times New Roman"/>
          <w:sz w:val="48"/>
          <w:szCs w:val="48"/>
        </w:rPr>
      </w:pPr>
    </w:p>
    <w:tbl>
      <w:tblPr>
        <w:tblStyle w:val="36"/>
        <w:tblW w:w="9003" w:type="dxa"/>
        <w:jc w:val="center"/>
        <w:tblLayout w:type="fixed"/>
        <w:tblCellMar>
          <w:top w:w="0" w:type="dxa"/>
          <w:left w:w="108" w:type="dxa"/>
          <w:bottom w:w="0" w:type="dxa"/>
          <w:right w:w="108" w:type="dxa"/>
        </w:tblCellMar>
      </w:tblPr>
      <w:tblGrid>
        <w:gridCol w:w="9003"/>
      </w:tblGrid>
      <w:tr w14:paraId="3A65B8AE">
        <w:trPr>
          <w:trHeight w:val="907" w:hRule="atLeast"/>
          <w:jc w:val="center"/>
        </w:trPr>
        <w:tc>
          <w:tcPr>
            <w:tcW w:w="9003" w:type="dxa"/>
            <w:vAlign w:val="center"/>
          </w:tcPr>
          <w:p w14:paraId="7A7C49AB">
            <w:pPr>
              <w:keepNext w:val="0"/>
              <w:keepLines w:val="0"/>
              <w:suppressLineNumbers w:val="0"/>
              <w:wordWrap w:val="0"/>
              <w:adjustRightInd w:val="0"/>
              <w:snapToGrid w:val="0"/>
              <w:spacing w:before="0" w:beforeAutospacing="0" w:after="0" w:afterAutospacing="0" w:line="400" w:lineRule="atLeast"/>
              <w:ind w:left="0" w:right="0"/>
              <w:jc w:val="center"/>
              <w:rPr>
                <w:rFonts w:hint="default" w:ascii="Times New Roman" w:hAnsi="Times New Roman" w:eastAsia="黑体" w:cs="Times New Roman"/>
                <w:kern w:val="0"/>
                <w:sz w:val="48"/>
                <w:szCs w:val="48"/>
              </w:rPr>
            </w:pPr>
            <w:bookmarkStart w:id="0" w:name="OLE_LINK8" w:colFirst="0" w:colLast="0"/>
            <w:r>
              <w:rPr>
                <w:rFonts w:hint="default" w:ascii="Times New Roman" w:hAnsi="Times New Roman" w:eastAsia="黑体" w:cs="Times New Roman"/>
                <w:kern w:val="0"/>
                <w:sz w:val="48"/>
                <w:szCs w:val="48"/>
              </w:rPr>
              <w:t>大唐可再生能源试验研究院有限公司</w:t>
            </w:r>
          </w:p>
        </w:tc>
      </w:tr>
      <w:tr w14:paraId="1D496ADB">
        <w:trPr>
          <w:trHeight w:val="907" w:hRule="atLeast"/>
          <w:jc w:val="center"/>
        </w:trPr>
        <w:tc>
          <w:tcPr>
            <w:tcW w:w="9003" w:type="dxa"/>
            <w:vAlign w:val="center"/>
          </w:tcPr>
          <w:p w14:paraId="490B6F18">
            <w:pPr>
              <w:keepNext w:val="0"/>
              <w:keepLines w:val="0"/>
              <w:suppressLineNumbers w:val="0"/>
              <w:wordWrap w:val="0"/>
              <w:adjustRightInd w:val="0"/>
              <w:snapToGrid w:val="0"/>
              <w:spacing w:before="0" w:beforeAutospacing="0" w:after="0" w:afterAutospacing="0" w:line="400" w:lineRule="atLeast"/>
              <w:ind w:left="0" w:right="0"/>
              <w:jc w:val="center"/>
              <w:rPr>
                <w:rFonts w:hint="default" w:ascii="Times New Roman" w:hAnsi="Times New Roman" w:eastAsia="黑体" w:cs="Times New Roman"/>
                <w:kern w:val="0"/>
                <w:sz w:val="48"/>
                <w:szCs w:val="48"/>
                <w:lang w:val="en-US"/>
              </w:rPr>
            </w:pPr>
            <w:r>
              <w:rPr>
                <w:rFonts w:hint="eastAsia" w:ascii="Times New Roman" w:hAnsi="Times New Roman" w:eastAsia="黑体" w:cs="Times New Roman"/>
                <w:kern w:val="0"/>
                <w:sz w:val="48"/>
                <w:szCs w:val="48"/>
                <w:lang w:val="en-US" w:eastAsia="zh-CN"/>
              </w:rPr>
              <w:t xml:space="preserve">新疆十三师风电场</w:t>
            </w:r>
          </w:p>
        </w:tc>
      </w:tr>
      <w:tr w14:paraId="0894CE9C">
        <w:trPr>
          <w:trHeight w:val="907" w:hRule="atLeast"/>
          <w:jc w:val="center"/>
        </w:trPr>
        <w:tc>
          <w:tcPr>
            <w:tcW w:w="9003" w:type="dxa"/>
            <w:vAlign w:val="center"/>
          </w:tcPr>
          <w:p w14:paraId="636EC477">
            <w:pPr>
              <w:keepNext w:val="0"/>
              <w:keepLines w:val="0"/>
              <w:suppressLineNumbers w:val="0"/>
              <w:wordWrap w:val="0"/>
              <w:adjustRightInd w:val="0"/>
              <w:snapToGrid w:val="0"/>
              <w:spacing w:before="0" w:beforeAutospacing="0" w:after="0" w:afterAutospacing="0" w:line="400" w:lineRule="atLeast"/>
              <w:ind w:left="0" w:right="0"/>
              <w:jc w:val="center"/>
              <w:rPr>
                <w:rFonts w:hint="default" w:ascii="Times New Roman" w:hAnsi="Times New Roman" w:eastAsia="黑体" w:cs="Times New Roman"/>
                <w:spacing w:val="20"/>
                <w:kern w:val="0"/>
                <w:sz w:val="44"/>
                <w:szCs w:val="44"/>
              </w:rPr>
            </w:pPr>
            <w:r>
              <w:rPr>
                <w:rFonts w:hint="default" w:ascii="Times New Roman" w:hAnsi="Times New Roman" w:eastAsia="黑体" w:cs="Times New Roman"/>
                <w:kern w:val="0"/>
                <w:sz w:val="48"/>
                <w:szCs w:val="48"/>
              </w:rPr>
              <w:t>风机</w:t>
            </w:r>
            <w:r>
              <w:rPr>
                <w:rFonts w:hint="eastAsia" w:ascii="Times New Roman" w:hAnsi="Times New Roman" w:eastAsia="黑体" w:cs="Times New Roman"/>
                <w:kern w:val="0"/>
                <w:sz w:val="48"/>
                <w:szCs w:val="48"/>
                <w:lang w:val="en-US" w:eastAsia="zh-CN"/>
              </w:rPr>
              <w:t>健康评估</w:t>
            </w:r>
            <w:r>
              <w:rPr>
                <w:rFonts w:hint="default" w:ascii="Times New Roman" w:hAnsi="Times New Roman" w:eastAsia="黑体" w:cs="Times New Roman"/>
                <w:kern w:val="0"/>
                <w:sz w:val="48"/>
                <w:szCs w:val="48"/>
              </w:rPr>
              <w:t>报告</w:t>
            </w:r>
          </w:p>
        </w:tc>
      </w:tr>
      <w:bookmarkEnd w:id="0"/>
    </w:tbl>
    <w:p w14:paraId="7B93774D">
      <w:pPr>
        <w:wordWrap w:val="0"/>
        <w:snapToGrid w:val="0"/>
        <w:spacing w:line="400" w:lineRule="atLeast"/>
        <w:rPr>
          <w:rFonts w:ascii="Times New Roman" w:hAnsi="Times New Roman" w:eastAsia="宋体" w:cs="Times New Roman"/>
          <w:sz w:val="48"/>
          <w:szCs w:val="48"/>
        </w:rPr>
      </w:pPr>
    </w:p>
    <w:p w14:paraId="1751D982">
      <w:pPr>
        <w:wordWrap w:val="0"/>
        <w:snapToGrid w:val="0"/>
        <w:ind w:firstLine="480"/>
        <w:rPr>
          <w:rFonts w:ascii="Times New Roman" w:hAnsi="Times New Roman" w:eastAsia="宋体" w:cs="Times New Roman"/>
        </w:rPr>
      </w:pPr>
    </w:p>
    <w:p w14:paraId="61F0F7F6">
      <w:pPr>
        <w:wordWrap w:val="0"/>
        <w:snapToGrid w:val="0"/>
        <w:ind w:firstLine="480"/>
        <w:rPr>
          <w:rFonts w:ascii="Times New Roman" w:hAnsi="Times New Roman" w:eastAsia="宋体" w:cs="Times New Roman"/>
        </w:rPr>
      </w:pPr>
    </w:p>
    <w:tbl>
      <w:tblPr>
        <w:tblStyle w:val="36"/>
        <w:tblpPr w:leftFromText="180" w:rightFromText="180" w:vertAnchor="text" w:horzAnchor="page" w:tblpX="2841" w:tblpY="358"/>
        <w:tblOverlap w:val="never"/>
        <w:tblW w:w="6771" w:type="dxa"/>
        <w:tblInd w:w="0" w:type="dxa"/>
        <w:tblLayout w:type="fixed"/>
        <w:tblCellMar>
          <w:top w:w="0" w:type="dxa"/>
          <w:left w:w="108" w:type="dxa"/>
          <w:bottom w:w="0" w:type="dxa"/>
          <w:right w:w="108" w:type="dxa"/>
        </w:tblCellMar>
      </w:tblPr>
      <w:tblGrid>
        <w:gridCol w:w="6771"/>
      </w:tblGrid>
      <w:tr w14:paraId="64ECE027">
        <w:trPr>
          <w:trHeight w:val="912" w:hRule="atLeast"/>
        </w:trPr>
        <w:tc>
          <w:tcPr>
            <w:tcW w:w="6771" w:type="dxa"/>
            <w:vAlign w:val="center"/>
          </w:tcPr>
          <w:p w14:paraId="7965550C">
            <w:pPr>
              <w:keepNext w:val="0"/>
              <w:keepLines w:val="0"/>
              <w:suppressLineNumbers w:val="0"/>
              <w:spacing w:before="0" w:beforeAutospacing="0" w:after="0" w:afterAutospacing="0"/>
              <w:ind w:left="0" w:right="0"/>
              <w:jc w:val="center"/>
              <w:rPr>
                <w:rFonts w:hint="eastAsia" w:ascii="黑体" w:hAnsi="黑体" w:eastAsia="黑体" w:cs="黑体"/>
                <w:spacing w:val="20"/>
                <w:kern w:val="0"/>
                <w:sz w:val="44"/>
                <w:szCs w:val="44"/>
              </w:rPr>
            </w:pPr>
            <w:bookmarkStart w:id="1" w:name="_Toc23397"/>
            <w:r>
              <w:rPr>
                <w:rFonts w:hint="eastAsia" w:ascii="黑体" w:hAnsi="黑体" w:eastAsia="黑体" w:cs="黑体"/>
                <w:sz w:val="44"/>
                <w:szCs w:val="44"/>
              </w:rPr>
              <w:t>大唐可再生能源试验研究院有限公司</w:t>
            </w:r>
            <w:bookmarkEnd w:id="1"/>
          </w:p>
        </w:tc>
      </w:tr>
      <w:tr w14:paraId="108BE87F">
        <w:trPr>
          <w:trHeight w:val="912" w:hRule="atLeast"/>
        </w:trPr>
        <w:tc>
          <w:tcPr>
            <w:tcW w:w="6771" w:type="dxa"/>
            <w:vAlign w:val="center"/>
          </w:tcPr>
          <w:p w14:paraId="0E3C5201">
            <w:pPr>
              <w:keepNext w:val="0"/>
              <w:keepLines w:val="0"/>
              <w:suppressLineNumbers w:val="0"/>
              <w:wordWrap w:val="0"/>
              <w:snapToGrid w:val="0"/>
              <w:spacing w:before="0" w:beforeAutospacing="0" w:after="0" w:afterAutospacing="0"/>
              <w:ind w:left="0" w:right="0"/>
              <w:jc w:val="center"/>
              <w:rPr>
                <w:rFonts w:hint="eastAsia" w:ascii="黑体" w:hAnsi="黑体" w:eastAsia="黑体" w:cs="黑体"/>
                <w:spacing w:val="20"/>
                <w:kern w:val="0"/>
                <w:sz w:val="44"/>
                <w:szCs w:val="44"/>
              </w:rPr>
            </w:pPr>
            <w:r>
              <w:rPr>
                <w:rFonts w:hint="eastAsia" w:ascii="黑体" w:hAnsi="黑体" w:eastAsia="黑体" w:cs="黑体"/>
                <w:spacing w:val="20"/>
                <w:kern w:val="0"/>
                <w:sz w:val="44"/>
                <w:szCs w:val="44"/>
                <w:lang w:val="en-US" w:eastAsia="zh-CN"/>
              </w:rPr>
              <w:t xml:space="preserve">2026年08月</w:t>
            </w:r>
            <w:r>
              <w:rPr>
                <w:rFonts w:hint="default" w:ascii="黑体" w:hAnsi="黑体" w:eastAsia="黑体" w:cs="黑体"/>
                <w:spacing w:val="20"/>
                <w:kern w:val="0"/>
                <w:sz w:val="44"/>
                <w:szCs w:val="44"/>
                <w:lang w:val="en-US" w:eastAsia="zh-CN"/>
              </w:rPr>
              <w:t/>
            </w:r>
            <w:r>
              <w:rPr>
                <w:rFonts w:hint="eastAsia" w:ascii="黑体" w:hAnsi="黑体" w:eastAsia="黑体" w:cs="黑体"/>
                <w:spacing w:val="20"/>
                <w:kern w:val="0"/>
                <w:sz w:val="44"/>
                <w:szCs w:val="44"/>
                <w:lang w:val="en-US" w:eastAsia="zh-CN"/>
              </w:rPr>
              <w:t/>
            </w:r>
            <w:r>
              <w:rPr>
                <w:rFonts w:hint="eastAsia" w:ascii="黑体" w:hAnsi="黑体" w:eastAsia="黑体" w:cs="黑体"/>
                <w:spacing w:val="20"/>
                <w:kern w:val="0"/>
                <w:sz w:val="44"/>
                <w:szCs w:val="44"/>
              </w:rPr>
              <w:t/>
            </w:r>
            <w:r>
              <w:rPr>
                <w:rFonts w:hint="eastAsia" w:ascii="黑体" w:hAnsi="黑体" w:eastAsia="黑体" w:cs="黑体"/>
                <w:spacing w:val="20"/>
                <w:kern w:val="0"/>
                <w:sz w:val="44"/>
                <w:szCs w:val="44"/>
                <w:lang w:val="en-US" w:eastAsia="zh-CN"/>
              </w:rPr>
              <w:t/>
            </w:r>
            <w:r>
              <w:rPr>
                <w:rFonts w:hint="default" w:ascii="黑体" w:hAnsi="黑体" w:eastAsia="黑体" w:cs="黑体"/>
                <w:spacing w:val="20"/>
                <w:kern w:val="0"/>
                <w:sz w:val="44"/>
                <w:szCs w:val="44"/>
                <w:lang w:val="en-US" w:eastAsia="zh-CN"/>
              </w:rPr>
              <w:t/>
            </w:r>
            <w:r>
              <w:rPr>
                <w:rFonts w:hint="eastAsia" w:ascii="黑体" w:hAnsi="黑体" w:eastAsia="黑体" w:cs="黑体"/>
                <w:spacing w:val="20"/>
                <w:kern w:val="0"/>
                <w:sz w:val="44"/>
                <w:szCs w:val="44"/>
                <w:lang w:val="en-US" w:eastAsia="zh-CN"/>
              </w:rPr>
              <w:t/>
            </w:r>
            <w:r>
              <w:rPr>
                <w:rFonts w:hint="eastAsia" w:ascii="黑体" w:hAnsi="黑体" w:eastAsia="黑体" w:cs="黑体"/>
                <w:spacing w:val="20"/>
                <w:kern w:val="0"/>
                <w:sz w:val="44"/>
                <w:szCs w:val="44"/>
              </w:rPr>
              <w:t/>
            </w:r>
          </w:p>
        </w:tc>
      </w:tr>
    </w:tbl>
    <w:p w14:paraId="6C90799A">
      <w:pPr>
        <w:wordWrap w:val="0"/>
        <w:snapToGrid w:val="0"/>
        <w:spacing w:before="0" w:after="0" w:line="20" w:lineRule="exact"/>
        <w:jc w:val="distribute"/>
        <w:rPr>
          <w:rFonts w:ascii="Times New Roman" w:hAnsi="Times New Roman" w:eastAsia="宋体" w:cs="Times New Roman"/>
          <w:kern w:val="0"/>
          <w:sz w:val="2"/>
          <w:szCs w:val="2"/>
        </w:rPr>
        <w:sectPr>
          <w:headerReference r:id="rId7" w:type="first"/>
          <w:footerReference r:id="rId10" w:type="first"/>
          <w:headerReference r:id="rId5" w:type="default"/>
          <w:footerReference r:id="rId8" w:type="default"/>
          <w:headerReference r:id="rId6" w:type="even"/>
          <w:footerReference r:id="rId9" w:type="even"/>
          <w:pgSz w:w="11906" w:h="16838"/>
          <w:pgMar w:top="1701" w:right="1701" w:bottom="1701" w:left="1701" w:header="1134" w:footer="1134" w:gutter="0"/>
          <w:pgNumType w:start="1"/>
          <w:cols w:space="720" w:num="1"/>
          <w:docGrid w:type="lines" w:linePitch="326" w:charSpace="0"/>
        </w:sectPr>
      </w:pPr>
    </w:p>
    <w:p w14:paraId="462CA4DA">
      <w:pPr>
        <w:jc w:val="center"/>
      </w:pPr>
      <w:r>
        <w:rPr>
          <w:b/>
          <w:sz w:val="32"/>
        </w:rPr>
        <w:t>注　意　事　项</w:t>
      </w:r>
    </w:p>
    <w:p w14:paraId="6E6DD0FA">
      <w:r>
        <w:rPr>
          <w:b w:val="0"/>
        </w:rPr>
        <w:t>1.本技术报告的著作权属大唐可再生能源试验研究院有限公司，未经本公司许可，任何单位与个人不得部分复制本报告或者擅自公开发表；</w:t>
      </w:r>
    </w:p>
    <w:p w14:paraId="46FABE24">
      <w:r>
        <w:rPr>
          <w:b w:val="0"/>
        </w:rPr>
        <w:t>2.凡注明了密级的技术报告，任何部门与人员均不得私自对外提供；</w:t>
      </w:r>
    </w:p>
    <w:p w14:paraId="1AF01030">
      <w:r>
        <w:rPr>
          <w:b w:val="0"/>
        </w:rPr>
        <w:t>3.本技术报告一经正式出版，任何涂改均无效；</w:t>
      </w:r>
    </w:p>
    <w:p w14:paraId="2D728368">
      <w:r>
        <w:rPr>
          <w:b w:val="0"/>
        </w:rPr>
        <w:t>4.无大唐可再生能源试验研究院有限公司技术报告专用章的技术报告，不属本公司的正式报告；</w:t>
      </w:r>
    </w:p>
    <w:p w14:paraId="2AB9CA54">
      <w:r>
        <w:rPr>
          <w:b w:val="0"/>
        </w:rPr>
        <w:t>5.本报告只是对数据源与数据粒度章节所述数据的分析结果。</w:t>
      </w:r>
    </w:p>
    <w:p w14:paraId="381C7487">
      <w:r>
        <w:rPr>
          <w:b w:val="0"/>
        </w:rPr>
        <w:t>如有异议，请于收到本报告之日起15日内向本公司提出。</w:t>
      </w:r>
    </w:p>
    <w:p w14:paraId="0C919BD0">
      <w:r>
        <w:br w:type="page"/>
      </w:r>
    </w:p>
    <w:p w14:paraId="703A8377">
      <w:r>
        <w:rPr>
          <w:b w:val="0"/>
        </w:rPr>
        <w:t>密　级：普通商密</w:t>
      </w:r>
    </w:p>
    <w:p w14:paraId="4B92EBD7"/>
    <w:p w14:paraId="5E197528">
      <w:r>
        <w:rPr>
          <w:b w:val="0"/>
        </w:rPr>
        <w:t>批  准：</w:t>
      </w:r>
    </w:p>
    <w:p w14:paraId="61609553"/>
    <w:p w14:paraId="40DA0E26">
      <w:r>
        <w:rPr>
          <w:b w:val="0"/>
        </w:rPr>
        <w:t>审　核：</w:t>
      </w:r>
    </w:p>
    <w:p w14:paraId="3421A22C"/>
    <w:p w14:paraId="6F9E3B53">
      <w:r>
        <w:rPr>
          <w:b w:val="0"/>
        </w:rPr>
        <w:t>校  阅：</w:t>
      </w:r>
    </w:p>
    <w:p w14:paraId="07B7405E"/>
    <w:p w14:paraId="1386A441">
      <w:r>
        <w:rPr>
          <w:b w:val="0"/>
        </w:rPr>
        <w:t>编  写：</w:t>
      </w:r>
    </w:p>
    <w:p w14:paraId="4CEB0FE3"/>
    <w:p w14:paraId="4F10036C">
      <w:r>
        <w:br w:type="page"/>
      </w:r>
    </w:p>
    <w:p w14:paraId="79941D2B">
      <w:pPr>
        <w:bidi w:val="0"/>
        <w:jc w:val="center"/>
        <w:rPr>
          <w:rFonts w:hint="eastAsia" w:ascii="Songti SC Regular" w:hAnsi="Songti SC Regular" w:eastAsia="Songti SC Regular" w:cs="Songti SC Regular"/>
          <w:b w:val="0"/>
          <w:bCs/>
          <w:sz w:val="32"/>
          <w:szCs w:val="32"/>
        </w:rPr>
      </w:pPr>
      <w:r>
        <w:rPr>
          <w:rFonts w:hint="eastAsia" w:ascii="Songti SC Regular" w:hAnsi="Songti SC Regular" w:eastAsia="Songti SC Regular" w:cs="Songti SC Regular"/>
          <w:b w:val="0"/>
          <w:bCs/>
          <w:sz w:val="32"/>
          <w:szCs w:val="32"/>
        </w:rPr>
        <w:t>摘  要</w:t>
      </w:r>
    </w:p>
    <w:p w14:paraId="5713D64B">
      <w:pPr>
        <w:pStyle w:val="3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textAlignment w:val="auto"/>
        <w:rPr>
          <w:rFonts w:ascii="Times New Roman" w:hAnsi="Times New Roman" w:eastAsia="宋体" w:cs="Times New Roman"/>
          <w:kern w:val="2"/>
          <w:sz w:val="24"/>
          <w:szCs w:val="22"/>
          <w:lang w:val="en-US" w:eastAsia="zh-CN" w:bidi="ar-SA"/>
        </w:rPr>
      </w:pPr>
      <w:r>
        <w:rPr>
          <w:rFonts w:ascii="Times New Roman" w:hAnsi="Times New Roman" w:eastAsia="宋体" w:cs="Times New Roman"/>
          <w:kern w:val="2"/>
          <w:sz w:val="24"/>
          <w:szCs w:val="22"/>
          <w:lang w:val="en-US" w:eastAsia="zh-CN" w:bidi="ar-SA"/>
        </w:rPr>
        <w:t xml:space="preserve">为及时识别新疆十三师风电场（TEST机型）机组运行状态偏离及潜在亚健康状态，基于 SCADA 分钟级数据、CMS 数据、台账信息、异常检测结果</w:t>
      </w:r>
      <w:r>
        <w:rPr>
          <w:rFonts w:hint="eastAsia" w:cs="Times New Roman"/>
          <w:kern w:val="2"/>
          <w:sz w:val="24"/>
          <w:szCs w:val="22"/>
          <w:lang w:val="en-US" w:eastAsia="zh-CN" w:bidi="ar-SA"/>
        </w:rPr>
        <w:t>等信息</w:t>
      </w:r>
      <w:r>
        <w:rPr>
          <w:rFonts w:ascii="Times New Roman" w:hAnsi="Times New Roman" w:eastAsia="宋体" w:cs="Times New Roman"/>
          <w:kern w:val="2"/>
          <w:sz w:val="24"/>
          <w:szCs w:val="22"/>
          <w:lang w:val="en-US" w:eastAsia="zh-CN" w:bidi="ar-SA"/>
        </w:rPr>
        <w:t>，构建风机综合健康评估体系。系统采用预训练健康基准模型，结合 MSET、SPRT 和 CRITIC 客观赋权方法，对</w:t>
      </w:r>
      <w:r>
        <w:rPr>
          <w:rFonts w:hint="eastAsia" w:cs="Times New Roman"/>
          <w:kern w:val="2"/>
          <w:sz w:val="24"/>
          <w:szCs w:val="22"/>
          <w:lang w:val="en-US" w:eastAsia="zh-CN" w:bidi="ar-SA"/>
        </w:rPr>
        <w:t>风机的</w:t>
      </w:r>
      <w:r>
        <w:rPr>
          <w:rFonts w:ascii="Times New Roman" w:hAnsi="Times New Roman" w:eastAsia="宋体" w:cs="Times New Roman"/>
          <w:kern w:val="2"/>
          <w:sz w:val="24"/>
          <w:szCs w:val="22"/>
          <w:lang w:val="en-US" w:eastAsia="zh-CN" w:bidi="ar-SA"/>
        </w:rPr>
        <w:t>偏航、变桨、主轴、液压和主控</w:t>
      </w:r>
      <w:r>
        <w:rPr>
          <w:rFonts w:hint="eastAsia" w:ascii="Times New Roman" w:hAnsi="Times New Roman" w:eastAsia="宋体" w:cs="Times New Roman"/>
          <w:kern w:val="2"/>
          <w:sz w:val="24"/>
          <w:szCs w:val="22"/>
          <w:lang w:val="en-US" w:eastAsia="zh-CN" w:bidi="ar-SA"/>
        </w:rPr>
        <w:t>共计四个子系统，</w:t>
      </w:r>
      <w:r>
        <w:rPr>
          <w:rFonts w:ascii="Times New Roman" w:hAnsi="Times New Roman" w:eastAsia="宋体" w:cs="Times New Roman"/>
          <w:kern w:val="2"/>
          <w:sz w:val="24"/>
          <w:szCs w:val="22"/>
          <w:lang w:val="en-US" w:eastAsia="zh-CN" w:bidi="ar-SA"/>
        </w:rPr>
        <w:t>齿轮箱、发电机、变流器、</w:t>
      </w:r>
      <w:r>
        <w:rPr>
          <w:rFonts w:hint="eastAsia" w:ascii="Times New Roman" w:hAnsi="Times New Roman" w:eastAsia="宋体" w:cs="Times New Roman"/>
          <w:kern w:val="2"/>
          <w:sz w:val="24"/>
          <w:szCs w:val="22"/>
          <w:lang w:val="en-US" w:eastAsia="zh-CN" w:bidi="ar-SA"/>
        </w:rPr>
        <w:t>主轴共计四个部件</w:t>
      </w:r>
      <w:r>
        <w:rPr>
          <w:rFonts w:ascii="Times New Roman" w:hAnsi="Times New Roman" w:eastAsia="宋体" w:cs="Times New Roman"/>
          <w:kern w:val="2"/>
          <w:sz w:val="24"/>
          <w:szCs w:val="22"/>
          <w:lang w:val="en-US" w:eastAsia="zh-CN" w:bidi="ar-SA"/>
        </w:rPr>
        <w:t>，以及叶片、塔筒结构开展健康评估，形成部件健康评分、系统健康评分、结构健康评分</w:t>
      </w:r>
      <w:r>
        <w:rPr>
          <w:rFonts w:hint="eastAsia" w:cs="Times New Roman"/>
          <w:kern w:val="2"/>
          <w:sz w:val="24"/>
          <w:szCs w:val="22"/>
          <w:lang w:val="en-US" w:eastAsia="zh-CN" w:bidi="ar-SA"/>
        </w:rPr>
        <w:t>并聚合得到</w:t>
      </w:r>
      <w:r>
        <w:rPr>
          <w:rFonts w:ascii="Times New Roman" w:hAnsi="Times New Roman" w:eastAsia="宋体" w:cs="Times New Roman"/>
          <w:kern w:val="2"/>
          <w:sz w:val="24"/>
          <w:szCs w:val="22"/>
          <w:lang w:val="en-US" w:eastAsia="zh-CN" w:bidi="ar-SA"/>
        </w:rPr>
        <w:t xml:space="preserve">整机综合健康评分。本次共评估1台机组，输出风机及风场层面的健康评估结果。</w:t>
      </w:r>
    </w:p>
    <w:p w14:paraId="63D489F9">
      <w:pPr>
        <w:pStyle w:val="3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textAlignment w:val="auto"/>
        <w:rPr>
          <w:rFonts w:ascii="Times New Roman" w:hAnsi="Times New Roman" w:eastAsia="宋体" w:cs="Times New Roman"/>
          <w:kern w:val="2"/>
          <w:sz w:val="24"/>
          <w:szCs w:val="22"/>
          <w:lang w:val="en-US" w:eastAsia="zh-CN" w:bidi="ar-SA"/>
        </w:rPr>
      </w:pPr>
      <w:r>
        <w:rPr>
          <w:rFonts w:ascii="Times New Roman" w:hAnsi="Times New Roman" w:eastAsia="宋体" w:cs="Times New Roman"/>
          <w:kern w:val="2"/>
          <w:sz w:val="24"/>
          <w:szCs w:val="22"/>
          <w:lang w:val="en-US" w:eastAsia="zh-CN" w:bidi="ar-SA"/>
        </w:rPr>
        <w:t>健康评估结果属于基于历史健康基准的相对评估，评分越高表示当前评估周期内机组状态越接近模型学习到的健康状态，不直接等同于设备故障诊断、故障定位或检修结论。若某一评价维度因数据缺失或评估条件不满足而未形成有效评分，则以无效状态标识，并不参与上层评分聚合；相关结果仍需结合现场运行情况、专业分析和人工复核进行综合判断。</w:t>
      </w:r>
      <w:r>
        <w:rPr>
          <w:rFonts w:ascii="Times New Roman" w:hAnsi="Times New Roman" w:eastAsia="宋体" w:cs="Times New Roman"/>
          <w:kern w:val="2"/>
          <w:sz w:val="24"/>
          <w:szCs w:val="22"/>
          <w:lang w:val="en-US" w:eastAsia="zh-CN" w:bidi="ar-SA"/>
        </w:rPr>
        <w:br w:type="textWrapping"/>
      </w:r>
    </w:p>
    <w:p w14:paraId="4D612CEC">
      <w:pPr>
        <w:widowControl/>
        <w:shd w:val="clear" w:color="auto" w:fill="FFFFFF"/>
        <w:wordWrap w:val="0"/>
        <w:snapToGrid w:val="0"/>
        <w:spacing w:line="400" w:lineRule="exact"/>
        <w:rPr>
          <w:rFonts w:ascii="Times New Roman" w:hAnsi="Times New Roman" w:eastAsia="黑体" w:cs="Times New Roman"/>
          <w:b/>
          <w:kern w:val="0"/>
          <w:sz w:val="24"/>
          <w:szCs w:val="24"/>
        </w:rPr>
      </w:pPr>
      <w:r>
        <w:rPr>
          <w:rFonts w:ascii="Times New Roman" w:hAnsi="Times New Roman" w:eastAsia="黑体" w:cs="Times New Roman"/>
          <w:b/>
          <w:kern w:val="0"/>
          <w:sz w:val="24"/>
          <w:szCs w:val="24"/>
        </w:rPr>
        <w:t>关键词：健康评估；健康基准；SCADA；CMS；MSET；SPRT；CRITIC；部件健康；系统健康；结构健康；综合健康评分；</w:t>
      </w:r>
    </w:p>
    <w:p w14:paraId="09E669C7">
      <w:pPr>
        <w:wordWrap w:val="0"/>
        <w:adjustRightInd w:val="0"/>
        <w:snapToGrid w:val="0"/>
        <w:spacing w:after="0" w:line="400" w:lineRule="exact"/>
        <w:ind w:firstLine="480" w:firstLineChars="200"/>
        <w:rPr>
          <w:rFonts w:ascii="Times New Roman" w:hAnsi="Times New Roman" w:eastAsia="宋体" w:cs="Times New Roman"/>
          <w:sz w:val="24"/>
          <w:szCs w:val="24"/>
        </w:rPr>
      </w:pPr>
    </w:p>
    <w:p w14:paraId="72CD4E35">
      <w:pPr>
        <w:widowControl/>
        <w:shd w:val="clear" w:color="auto" w:fill="FFFFFF"/>
        <w:wordWrap w:val="0"/>
        <w:snapToGrid w:val="0"/>
        <w:spacing w:line="400" w:lineRule="exact"/>
        <w:rPr>
          <w:rFonts w:ascii="Times New Roman" w:hAnsi="Times New Roman" w:eastAsia="黑体" w:cs="Times New Roman"/>
          <w:b/>
          <w:kern w:val="0"/>
          <w:sz w:val="24"/>
          <w:szCs w:val="24"/>
        </w:rPr>
      </w:pPr>
    </w:p>
    <w:p w14:paraId="35FC0BE8">
      <w:pPr>
        <w:widowControl/>
        <w:shd w:val="clear" w:color="auto" w:fill="FFFFFF"/>
        <w:wordWrap w:val="0"/>
        <w:snapToGrid w:val="0"/>
        <w:spacing w:line="400" w:lineRule="exact"/>
        <w:rPr>
          <w:rFonts w:hint="eastAsia" w:ascii="Times New Roman" w:hAnsi="Times New Roman" w:eastAsia="宋体" w:cs="Times New Roman"/>
          <w:kern w:val="0"/>
          <w:sz w:val="24"/>
          <w:szCs w:val="24"/>
          <w:lang w:val="en-US" w:eastAsia="zh-CN"/>
        </w:rPr>
        <w:sectPr>
          <w:headerReference r:id="rId13" w:type="first"/>
          <w:footerReference r:id="rId16" w:type="first"/>
          <w:headerReference r:id="rId11" w:type="default"/>
          <w:footerReference r:id="rId14" w:type="default"/>
          <w:headerReference r:id="rId12" w:type="even"/>
          <w:footerReference r:id="rId15" w:type="even"/>
          <w:pgSz w:w="11906" w:h="16838"/>
          <w:pgMar w:top="1701" w:right="1701" w:bottom="1701" w:left="1701" w:header="1247" w:footer="1247" w:gutter="0"/>
          <w:pgNumType w:start="1"/>
          <w:cols w:space="425" w:num="1"/>
          <w:docGrid w:type="lines" w:linePitch="326" w:charSpace="0"/>
        </w:sectPr>
      </w:pPr>
    </w:p>
    <w:sdt>
      <w:sdtPr>
        <w:rPr>
          <w:rFonts w:ascii="宋体" w:hAnsi="宋体" w:eastAsia="宋体" w:cstheme="minorBidi"/>
          <w:color w:val="000000"/>
          <w:sz w:val="21"/>
          <w:szCs w:val="22"/>
          <w:lang w:val="en-US" w:eastAsia="en-US" w:bidi="ar-SA"/>
        </w:rPr>
        <w:id w:val="147482022"/>
        <w15:color w:val="DBDBDB"/>
        <w:docPartObj>
          <w:docPartGallery w:val="Table of Contents"/>
          <w:docPartUnique/>
        </w:docPartObj>
      </w:sdtPr>
      <w:sdtEndPr>
        <w:rPr>
          <w:rFonts w:hint="eastAsia" w:ascii="宋体" w:hAnsi="宋体" w:eastAsia="宋体" w:cs="宋体"/>
          <w:color w:val="000000"/>
          <w:sz w:val="21"/>
          <w:szCs w:val="22"/>
          <w:lang w:val="en-US" w:eastAsia="en-US" w:bidi="ar-SA"/>
        </w:rPr>
      </w:sdtEndPr>
      <w:sdtContent>
        <w:p w14:paraId="6E82C3A7">
          <w:pPr>
            <w:widowControl w:val="0"/>
            <w:wordWrap w:val="0"/>
            <w:snapToGrid w:val="0"/>
            <w:spacing w:before="360" w:after="360" w:line="400" w:lineRule="exact"/>
            <w:jc w:val="center"/>
            <w:rPr>
              <w:sz w:val="28"/>
              <w:szCs w:val="32"/>
            </w:rPr>
          </w:pPr>
          <w:r>
            <w:rPr>
              <w:rFonts w:ascii="宋体" w:hAnsi="宋体" w:eastAsia="宋体"/>
              <w:sz w:val="28"/>
              <w:szCs w:val="32"/>
            </w:rPr>
            <w:t>目录</w:t>
          </w:r>
        </w:p>
        <w:p w14:paraId="73AD74D3">
          <w:pPr>
            <w:pStyle w:val="27"/>
            <w:keepNext w:val="0"/>
            <w:keepLines w:val="0"/>
            <w:pageBreakBefore w:val="0"/>
            <w:widowControl/>
            <w:tabs>
              <w:tab w:val="right" w:leader="dot" w:pos="8312"/>
              <w:tab w:val="clear" w:pos="480"/>
              <w:tab w:val="clear" w:pos="720"/>
              <w:tab w:val="clear" w:pos="8494"/>
            </w:tabs>
            <w:kinsoku/>
            <w:wordWrap/>
            <w:overflowPunct/>
            <w:topLinePunct w:val="0"/>
            <w:autoSpaceDE/>
            <w:autoSpaceDN/>
            <w:bidi w:val="0"/>
            <w:adjustRightInd w:val="0"/>
            <w:snapToGrid w:val="0"/>
            <w:spacing w:line="360" w:lineRule="auto"/>
            <w:textAlignment w:val="auto"/>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TOC \o "1-2" \h \u </w:instrText>
          </w:r>
          <w:r>
            <w:rPr>
              <w:rFonts w:hint="eastAsia" w:ascii="宋体" w:hAnsi="宋体" w:eastAsia="宋体" w:cs="宋体"/>
            </w:rPr>
            <w:fldChar w:fldCharType="separate"/>
          </w:r>
          <w:r>
            <w:rPr>
              <w:rFonts w:hint="eastAsia" w:ascii="宋体" w:hAnsi="宋体" w:eastAsia="宋体" w:cs="宋体"/>
            </w:rPr>
            <w:fldChar w:fldCharType="begin"/>
          </w:r>
          <w:r>
            <w:rPr>
              <w:rFonts w:hint="eastAsia" w:ascii="宋体" w:hAnsi="宋体" w:eastAsia="宋体" w:cs="宋体"/>
            </w:rPr>
            <w:instrText xml:space="preserve"> HYPERLINK \l _Toc7207 </w:instrText>
          </w:r>
          <w:r>
            <w:rPr>
              <w:rFonts w:hint="eastAsia" w:ascii="宋体" w:hAnsi="宋体" w:eastAsia="宋体" w:cs="宋体"/>
            </w:rPr>
            <w:fldChar w:fldCharType="separate"/>
          </w:r>
          <w:r>
            <w:rPr>
              <w:rFonts w:hint="eastAsia" w:ascii="宋体" w:hAnsi="宋体" w:eastAsia="宋体" w:cs="宋体"/>
            </w:rPr>
            <w:t xml:space="preserve">1 </w:t>
          </w:r>
          <w:r>
            <w:rPr>
              <w:rFonts w:hint="eastAsia" w:ascii="宋体" w:hAnsi="宋体" w:eastAsia="宋体" w:cs="宋体"/>
              <w:lang w:val="en-US" w:eastAsia="zh-CN"/>
            </w:rPr>
            <w:t>项目概况</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_Toc7207 \h </w:instrText>
          </w:r>
          <w:r>
            <w:rPr>
              <w:rFonts w:hint="eastAsia" w:ascii="宋体" w:hAnsi="宋体" w:eastAsia="宋体" w:cs="宋体"/>
            </w:rPr>
            <w:fldChar w:fldCharType="separate"/>
          </w:r>
          <w:r>
            <w:rPr>
              <w:rFonts w:hint="eastAsia" w:ascii="宋体" w:hAnsi="宋体" w:eastAsia="宋体" w:cs="宋体"/>
            </w:rPr>
            <w:t>5</w:t>
          </w:r>
          <w:r>
            <w:rPr>
              <w:rFonts w:hint="eastAsia" w:ascii="宋体" w:hAnsi="宋体" w:eastAsia="宋体" w:cs="宋体"/>
            </w:rPr>
            <w:fldChar w:fldCharType="end"/>
          </w:r>
          <w:r>
            <w:rPr>
              <w:rFonts w:hint="eastAsia" w:ascii="宋体" w:hAnsi="宋体" w:eastAsia="宋体" w:cs="宋体"/>
            </w:rPr>
            <w:fldChar w:fldCharType="end"/>
          </w:r>
        </w:p>
        <w:p w14:paraId="06E2101D">
          <w:pPr>
            <w:pStyle w:val="30"/>
            <w:keepNext w:val="0"/>
            <w:keepLines w:val="0"/>
            <w:pageBreakBefore w:val="0"/>
            <w:widowControl/>
            <w:tabs>
              <w:tab w:val="right" w:leader="dot" w:pos="8312"/>
              <w:tab w:val="clear" w:pos="1200"/>
              <w:tab w:val="clear" w:pos="8494"/>
            </w:tabs>
            <w:kinsoku/>
            <w:wordWrap/>
            <w:overflowPunct/>
            <w:topLinePunct w:val="0"/>
            <w:autoSpaceDE/>
            <w:autoSpaceDN/>
            <w:bidi w:val="0"/>
            <w:adjustRightInd w:val="0"/>
            <w:snapToGrid w:val="0"/>
            <w:spacing w:line="360" w:lineRule="auto"/>
            <w:textAlignment w:val="auto"/>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_Toc14811 </w:instrText>
          </w:r>
          <w:r>
            <w:rPr>
              <w:rFonts w:hint="eastAsia" w:ascii="宋体" w:hAnsi="宋体" w:eastAsia="宋体" w:cs="宋体"/>
            </w:rPr>
            <w:fldChar w:fldCharType="separate"/>
          </w:r>
          <w:r>
            <w:rPr>
              <w:rFonts w:hint="eastAsia" w:ascii="宋体" w:hAnsi="宋体" w:eastAsia="宋体" w:cs="宋体"/>
            </w:rPr>
            <w:t xml:space="preserve">1.1 </w:t>
          </w:r>
          <w:r>
            <w:rPr>
              <w:rFonts w:hint="eastAsia" w:ascii="宋体" w:hAnsi="宋体" w:eastAsia="宋体" w:cs="宋体"/>
              <w:lang w:val="en-US" w:eastAsia="zh-CN"/>
            </w:rPr>
            <w:t>项目概要</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_Toc14811 \h </w:instrText>
          </w:r>
          <w:r>
            <w:rPr>
              <w:rFonts w:hint="eastAsia" w:ascii="宋体" w:hAnsi="宋体" w:eastAsia="宋体" w:cs="宋体"/>
            </w:rPr>
            <w:fldChar w:fldCharType="separate"/>
          </w:r>
          <w:r>
            <w:rPr>
              <w:rFonts w:hint="eastAsia" w:ascii="宋体" w:hAnsi="宋体" w:eastAsia="宋体" w:cs="宋体"/>
            </w:rPr>
            <w:t>5</w:t>
          </w:r>
          <w:r>
            <w:rPr>
              <w:rFonts w:hint="eastAsia" w:ascii="宋体" w:hAnsi="宋体" w:eastAsia="宋体" w:cs="宋体"/>
            </w:rPr>
            <w:fldChar w:fldCharType="end"/>
          </w:r>
          <w:r>
            <w:rPr>
              <w:rFonts w:hint="eastAsia" w:ascii="宋体" w:hAnsi="宋体" w:eastAsia="宋体" w:cs="宋体"/>
            </w:rPr>
            <w:fldChar w:fldCharType="end"/>
          </w:r>
        </w:p>
        <w:p w14:paraId="10674FC4">
          <w:pPr>
            <w:pStyle w:val="30"/>
            <w:keepNext w:val="0"/>
            <w:keepLines w:val="0"/>
            <w:pageBreakBefore w:val="0"/>
            <w:widowControl/>
            <w:tabs>
              <w:tab w:val="right" w:leader="dot" w:pos="8312"/>
              <w:tab w:val="clear" w:pos="1200"/>
              <w:tab w:val="clear" w:pos="8494"/>
            </w:tabs>
            <w:kinsoku/>
            <w:wordWrap/>
            <w:overflowPunct/>
            <w:topLinePunct w:val="0"/>
            <w:autoSpaceDE/>
            <w:autoSpaceDN/>
            <w:bidi w:val="0"/>
            <w:adjustRightInd w:val="0"/>
            <w:snapToGrid w:val="0"/>
            <w:spacing w:line="360" w:lineRule="auto"/>
            <w:textAlignment w:val="auto"/>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_Toc17636 </w:instrText>
          </w:r>
          <w:r>
            <w:rPr>
              <w:rFonts w:hint="eastAsia" w:ascii="宋体" w:hAnsi="宋体" w:eastAsia="宋体" w:cs="宋体"/>
            </w:rPr>
            <w:fldChar w:fldCharType="separate"/>
          </w:r>
          <w:r>
            <w:rPr>
              <w:rFonts w:hint="eastAsia" w:ascii="宋体" w:hAnsi="宋体" w:eastAsia="宋体" w:cs="宋体"/>
            </w:rPr>
            <w:t xml:space="preserve">1.2 </w:t>
          </w:r>
          <w:r>
            <w:rPr>
              <w:rFonts w:hint="eastAsia" w:ascii="宋体" w:hAnsi="宋体" w:eastAsia="宋体" w:cs="宋体"/>
              <w:lang w:val="en-US" w:eastAsia="zh-CN"/>
            </w:rPr>
            <w:t>检测范围</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_Toc17636 \h </w:instrText>
          </w:r>
          <w:r>
            <w:rPr>
              <w:rFonts w:hint="eastAsia" w:ascii="宋体" w:hAnsi="宋体" w:eastAsia="宋体" w:cs="宋体"/>
            </w:rPr>
            <w:fldChar w:fldCharType="separate"/>
          </w:r>
          <w:r>
            <w:rPr>
              <w:rFonts w:hint="eastAsia" w:ascii="宋体" w:hAnsi="宋体" w:eastAsia="宋体" w:cs="宋体"/>
            </w:rPr>
            <w:t>5</w:t>
          </w:r>
          <w:r>
            <w:rPr>
              <w:rFonts w:hint="eastAsia" w:ascii="宋体" w:hAnsi="宋体" w:eastAsia="宋体" w:cs="宋体"/>
            </w:rPr>
            <w:fldChar w:fldCharType="end"/>
          </w:r>
          <w:r>
            <w:rPr>
              <w:rFonts w:hint="eastAsia" w:ascii="宋体" w:hAnsi="宋体" w:eastAsia="宋体" w:cs="宋体"/>
            </w:rPr>
            <w:fldChar w:fldCharType="end"/>
          </w:r>
        </w:p>
        <w:p w14:paraId="6BBD1AEF">
          <w:pPr>
            <w:pStyle w:val="30"/>
            <w:keepNext w:val="0"/>
            <w:keepLines w:val="0"/>
            <w:pageBreakBefore w:val="0"/>
            <w:widowControl/>
            <w:tabs>
              <w:tab w:val="right" w:leader="dot" w:pos="8312"/>
              <w:tab w:val="clear" w:pos="1200"/>
              <w:tab w:val="clear" w:pos="8494"/>
            </w:tabs>
            <w:kinsoku/>
            <w:wordWrap/>
            <w:overflowPunct/>
            <w:topLinePunct w:val="0"/>
            <w:autoSpaceDE/>
            <w:autoSpaceDN/>
            <w:bidi w:val="0"/>
            <w:adjustRightInd w:val="0"/>
            <w:snapToGrid w:val="0"/>
            <w:spacing w:line="360" w:lineRule="auto"/>
            <w:textAlignment w:val="auto"/>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_Toc26637 </w:instrText>
          </w:r>
          <w:r>
            <w:rPr>
              <w:rFonts w:hint="eastAsia" w:ascii="宋体" w:hAnsi="宋体" w:eastAsia="宋体" w:cs="宋体"/>
            </w:rPr>
            <w:fldChar w:fldCharType="separate"/>
          </w:r>
          <w:r>
            <w:rPr>
              <w:rFonts w:hint="eastAsia" w:ascii="宋体" w:hAnsi="宋体" w:eastAsia="宋体" w:cs="宋体"/>
            </w:rPr>
            <w:t>1.3 健康评估内容</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_Toc26637 \h </w:instrText>
          </w:r>
          <w:r>
            <w:rPr>
              <w:rFonts w:hint="eastAsia" w:ascii="宋体" w:hAnsi="宋体" w:eastAsia="宋体" w:cs="宋体"/>
            </w:rPr>
            <w:fldChar w:fldCharType="separate"/>
          </w:r>
          <w:r>
            <w:rPr>
              <w:rFonts w:hint="eastAsia" w:ascii="宋体" w:hAnsi="宋体" w:eastAsia="宋体" w:cs="宋体"/>
            </w:rPr>
            <w:t>5</w:t>
          </w:r>
          <w:r>
            <w:rPr>
              <w:rFonts w:hint="eastAsia" w:ascii="宋体" w:hAnsi="宋体" w:eastAsia="宋体" w:cs="宋体"/>
            </w:rPr>
            <w:fldChar w:fldCharType="end"/>
          </w:r>
          <w:r>
            <w:rPr>
              <w:rFonts w:hint="eastAsia" w:ascii="宋体" w:hAnsi="宋体" w:eastAsia="宋体" w:cs="宋体"/>
            </w:rPr>
            <w:fldChar w:fldCharType="end"/>
          </w:r>
        </w:p>
        <w:p w14:paraId="5CBCB6E7">
          <w:pPr>
            <w:pStyle w:val="27"/>
            <w:keepNext w:val="0"/>
            <w:keepLines w:val="0"/>
            <w:pageBreakBefore w:val="0"/>
            <w:widowControl/>
            <w:tabs>
              <w:tab w:val="right" w:leader="dot" w:pos="8312"/>
              <w:tab w:val="clear" w:pos="480"/>
              <w:tab w:val="clear" w:pos="720"/>
              <w:tab w:val="clear" w:pos="8494"/>
            </w:tabs>
            <w:kinsoku/>
            <w:wordWrap/>
            <w:overflowPunct/>
            <w:topLinePunct w:val="0"/>
            <w:autoSpaceDE/>
            <w:autoSpaceDN/>
            <w:bidi w:val="0"/>
            <w:adjustRightInd w:val="0"/>
            <w:snapToGrid w:val="0"/>
            <w:spacing w:line="360" w:lineRule="auto"/>
            <w:textAlignment w:val="auto"/>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_Toc8120 </w:instrText>
          </w:r>
          <w:r>
            <w:rPr>
              <w:rFonts w:hint="eastAsia" w:ascii="宋体" w:hAnsi="宋体" w:eastAsia="宋体" w:cs="宋体"/>
            </w:rPr>
            <w:fldChar w:fldCharType="separate"/>
          </w:r>
          <w:r>
            <w:rPr>
              <w:rFonts w:hint="eastAsia" w:ascii="宋体" w:hAnsi="宋体" w:eastAsia="宋体" w:cs="宋体"/>
            </w:rPr>
            <w:t>2 风场健康评估总体结果</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_Toc8120 \h </w:instrText>
          </w:r>
          <w:r>
            <w:rPr>
              <w:rFonts w:hint="eastAsia" w:ascii="宋体" w:hAnsi="宋体" w:eastAsia="宋体" w:cs="宋体"/>
            </w:rPr>
            <w:fldChar w:fldCharType="separate"/>
          </w:r>
          <w:r>
            <w:rPr>
              <w:rFonts w:hint="eastAsia" w:ascii="宋体" w:hAnsi="宋体" w:eastAsia="宋体" w:cs="宋体"/>
            </w:rPr>
            <w:t>6</w:t>
          </w:r>
          <w:r>
            <w:rPr>
              <w:rFonts w:hint="eastAsia" w:ascii="宋体" w:hAnsi="宋体" w:eastAsia="宋体" w:cs="宋体"/>
            </w:rPr>
            <w:fldChar w:fldCharType="end"/>
          </w:r>
          <w:r>
            <w:rPr>
              <w:rFonts w:hint="eastAsia" w:ascii="宋体" w:hAnsi="宋体" w:eastAsia="宋体" w:cs="宋体"/>
            </w:rPr>
            <w:fldChar w:fldCharType="end"/>
          </w:r>
        </w:p>
        <w:p w14:paraId="206368AD">
          <w:pPr>
            <w:pStyle w:val="30"/>
            <w:keepNext w:val="0"/>
            <w:keepLines w:val="0"/>
            <w:pageBreakBefore w:val="0"/>
            <w:widowControl/>
            <w:tabs>
              <w:tab w:val="right" w:leader="dot" w:pos="8312"/>
              <w:tab w:val="clear" w:pos="1200"/>
              <w:tab w:val="clear" w:pos="8494"/>
            </w:tabs>
            <w:kinsoku/>
            <w:wordWrap/>
            <w:overflowPunct/>
            <w:topLinePunct w:val="0"/>
            <w:autoSpaceDE/>
            <w:autoSpaceDN/>
            <w:bidi w:val="0"/>
            <w:adjustRightInd w:val="0"/>
            <w:snapToGrid w:val="0"/>
            <w:spacing w:line="360" w:lineRule="auto"/>
            <w:textAlignment w:val="auto"/>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_Toc2928 </w:instrText>
          </w:r>
          <w:r>
            <w:rPr>
              <w:rFonts w:hint="eastAsia" w:ascii="宋体" w:hAnsi="宋体" w:eastAsia="宋体" w:cs="宋体"/>
            </w:rPr>
            <w:fldChar w:fldCharType="separate"/>
          </w:r>
          <w:r>
            <w:rPr>
              <w:rFonts w:hint="eastAsia" w:ascii="宋体" w:hAnsi="宋体" w:eastAsia="宋体" w:cs="宋体"/>
            </w:rPr>
            <w:t>2.1 风场综合健康状态</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_Toc2928 \h </w:instrText>
          </w:r>
          <w:r>
            <w:rPr>
              <w:rFonts w:hint="eastAsia" w:ascii="宋体" w:hAnsi="宋体" w:eastAsia="宋体" w:cs="宋体"/>
            </w:rPr>
            <w:fldChar w:fldCharType="separate"/>
          </w:r>
          <w:r>
            <w:rPr>
              <w:rFonts w:hint="eastAsia" w:ascii="宋体" w:hAnsi="宋体" w:eastAsia="宋体" w:cs="宋体"/>
            </w:rPr>
            <w:t>6</w:t>
          </w:r>
          <w:r>
            <w:rPr>
              <w:rFonts w:hint="eastAsia" w:ascii="宋体" w:hAnsi="宋体" w:eastAsia="宋体" w:cs="宋体"/>
            </w:rPr>
            <w:fldChar w:fldCharType="end"/>
          </w:r>
          <w:r>
            <w:rPr>
              <w:rFonts w:hint="eastAsia" w:ascii="宋体" w:hAnsi="宋体" w:eastAsia="宋体" w:cs="宋体"/>
            </w:rPr>
            <w:fldChar w:fldCharType="end"/>
          </w:r>
        </w:p>
        <w:p w14:paraId="42EDE5C7">
          <w:pPr>
            <w:pStyle w:val="30"/>
            <w:keepNext w:val="0"/>
            <w:keepLines w:val="0"/>
            <w:pageBreakBefore w:val="0"/>
            <w:widowControl/>
            <w:tabs>
              <w:tab w:val="right" w:leader="dot" w:pos="8312"/>
              <w:tab w:val="clear" w:pos="1200"/>
              <w:tab w:val="clear" w:pos="8494"/>
            </w:tabs>
            <w:kinsoku/>
            <w:wordWrap/>
            <w:overflowPunct/>
            <w:topLinePunct w:val="0"/>
            <w:autoSpaceDE/>
            <w:autoSpaceDN/>
            <w:bidi w:val="0"/>
            <w:adjustRightInd w:val="0"/>
            <w:snapToGrid w:val="0"/>
            <w:spacing w:line="360" w:lineRule="auto"/>
            <w:textAlignment w:val="auto"/>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_Toc28045 </w:instrText>
          </w:r>
          <w:r>
            <w:rPr>
              <w:rFonts w:hint="eastAsia" w:ascii="宋体" w:hAnsi="宋体" w:eastAsia="宋体" w:cs="宋体"/>
            </w:rPr>
            <w:fldChar w:fldCharType="separate"/>
          </w:r>
          <w:r>
            <w:rPr>
              <w:rFonts w:hint="eastAsia" w:ascii="宋体" w:hAnsi="宋体" w:eastAsia="宋体" w:cs="宋体"/>
              <w:lang w:val="en-US" w:eastAsia="zh-CN"/>
            </w:rPr>
            <w:t>2.2风机健康评估结果</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_Toc28045 \h </w:instrText>
          </w:r>
          <w:r>
            <w:rPr>
              <w:rFonts w:hint="eastAsia" w:ascii="宋体" w:hAnsi="宋体" w:eastAsia="宋体" w:cs="宋体"/>
            </w:rPr>
            <w:fldChar w:fldCharType="separate"/>
          </w:r>
          <w:r>
            <w:rPr>
              <w:rFonts w:hint="eastAsia" w:ascii="宋体" w:hAnsi="宋体" w:eastAsia="宋体" w:cs="宋体"/>
            </w:rPr>
            <w:t>8</w:t>
          </w:r>
          <w:r>
            <w:rPr>
              <w:rFonts w:hint="eastAsia" w:ascii="宋体" w:hAnsi="宋体" w:eastAsia="宋体" w:cs="宋体"/>
            </w:rPr>
            <w:fldChar w:fldCharType="end"/>
          </w:r>
          <w:r>
            <w:rPr>
              <w:rFonts w:hint="eastAsia" w:ascii="宋体" w:hAnsi="宋体" w:eastAsia="宋体" w:cs="宋体"/>
            </w:rPr>
            <w:fldChar w:fldCharType="end"/>
          </w:r>
        </w:p>
        <w:p w14:paraId="7031E158">
          <w:pPr>
            <w:pStyle w:val="30"/>
            <w:keepNext w:val="0"/>
            <w:keepLines w:val="0"/>
            <w:pageBreakBefore w:val="0"/>
            <w:widowControl/>
            <w:tabs>
              <w:tab w:val="right" w:leader="dot" w:pos="8312"/>
              <w:tab w:val="clear" w:pos="1200"/>
              <w:tab w:val="clear" w:pos="8494"/>
            </w:tabs>
            <w:kinsoku/>
            <w:wordWrap/>
            <w:overflowPunct/>
            <w:topLinePunct w:val="0"/>
            <w:autoSpaceDE/>
            <w:autoSpaceDN/>
            <w:bidi w:val="0"/>
            <w:adjustRightInd w:val="0"/>
            <w:snapToGrid w:val="0"/>
            <w:spacing w:line="360" w:lineRule="auto"/>
            <w:textAlignment w:val="auto"/>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_Toc32532 </w:instrText>
          </w:r>
          <w:r>
            <w:rPr>
              <w:rFonts w:hint="eastAsia" w:ascii="宋体" w:hAnsi="宋体" w:eastAsia="宋体" w:cs="宋体"/>
            </w:rPr>
            <w:fldChar w:fldCharType="separate"/>
          </w:r>
          <w:r>
            <w:rPr>
              <w:rFonts w:hint="eastAsia" w:ascii="宋体" w:hAnsi="宋体" w:eastAsia="宋体" w:cs="宋体"/>
              <w:lang w:val="en-US" w:eastAsia="zh-CN"/>
            </w:rPr>
            <w:t>2.3风机健康趋势分析</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_Toc32532 \h </w:instrText>
          </w:r>
          <w:r>
            <w:rPr>
              <w:rFonts w:hint="eastAsia" w:ascii="宋体" w:hAnsi="宋体" w:eastAsia="宋体" w:cs="宋体"/>
            </w:rPr>
            <w:fldChar w:fldCharType="separate"/>
          </w:r>
          <w:r>
            <w:rPr>
              <w:rFonts w:hint="eastAsia" w:ascii="宋体" w:hAnsi="宋体" w:eastAsia="宋体" w:cs="宋体"/>
            </w:rPr>
            <w:t>8</w:t>
          </w:r>
          <w:r>
            <w:rPr>
              <w:rFonts w:hint="eastAsia" w:ascii="宋体" w:hAnsi="宋体" w:eastAsia="宋体" w:cs="宋体"/>
            </w:rPr>
            <w:fldChar w:fldCharType="end"/>
          </w:r>
          <w:r>
            <w:rPr>
              <w:rFonts w:hint="eastAsia" w:ascii="宋体" w:hAnsi="宋体" w:eastAsia="宋体" w:cs="宋体"/>
            </w:rPr>
            <w:fldChar w:fldCharType="end"/>
          </w:r>
        </w:p>
        <w:p w14:paraId="2380B0AC">
          <w:pPr>
            <w:pStyle w:val="27"/>
            <w:keepNext w:val="0"/>
            <w:keepLines w:val="0"/>
            <w:pageBreakBefore w:val="0"/>
            <w:widowControl/>
            <w:tabs>
              <w:tab w:val="right" w:leader="dot" w:pos="8312"/>
              <w:tab w:val="clear" w:pos="480"/>
              <w:tab w:val="clear" w:pos="720"/>
              <w:tab w:val="clear" w:pos="8494"/>
            </w:tabs>
            <w:kinsoku/>
            <w:wordWrap/>
            <w:overflowPunct/>
            <w:topLinePunct w:val="0"/>
            <w:autoSpaceDE/>
            <w:autoSpaceDN/>
            <w:bidi w:val="0"/>
            <w:adjustRightInd w:val="0"/>
            <w:snapToGrid w:val="0"/>
            <w:spacing w:line="360" w:lineRule="auto"/>
            <w:textAlignment w:val="auto"/>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_Toc27608 </w:instrText>
          </w:r>
          <w:r>
            <w:rPr>
              <w:rFonts w:hint="eastAsia" w:ascii="宋体" w:hAnsi="宋体" w:eastAsia="宋体" w:cs="宋体"/>
            </w:rPr>
            <w:fldChar w:fldCharType="separate"/>
          </w:r>
          <w:r>
            <w:rPr>
              <w:rFonts w:hint="eastAsia" w:ascii="宋体" w:hAnsi="宋体" w:eastAsia="宋体" w:cs="宋体"/>
              <w:lang w:val="en-US" w:eastAsia="zh-CN"/>
            </w:rPr>
            <w:t xml:space="preserve">3 </w:t>
          </w:r>
          <w:r>
            <w:rPr>
              <w:rFonts w:hint="eastAsia" w:ascii="宋体" w:hAnsi="宋体" w:eastAsia="宋体" w:cs="宋体"/>
            </w:rPr>
            <w:t>重点关注风机情况</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_Toc27608 \h </w:instrText>
          </w:r>
          <w:r>
            <w:rPr>
              <w:rFonts w:hint="eastAsia" w:ascii="宋体" w:hAnsi="宋体" w:eastAsia="宋体" w:cs="宋体"/>
            </w:rPr>
            <w:fldChar w:fldCharType="separate"/>
          </w:r>
          <w:r>
            <w:rPr>
              <w:rFonts w:hint="eastAsia" w:ascii="宋体" w:hAnsi="宋体" w:eastAsia="宋体" w:cs="宋体"/>
            </w:rPr>
            <w:t>9</w:t>
          </w:r>
          <w:r>
            <w:rPr>
              <w:rFonts w:hint="eastAsia" w:ascii="宋体" w:hAnsi="宋体" w:eastAsia="宋体" w:cs="宋体"/>
            </w:rPr>
            <w:fldChar w:fldCharType="end"/>
          </w:r>
          <w:r>
            <w:rPr>
              <w:rFonts w:hint="eastAsia" w:ascii="宋体" w:hAnsi="宋体" w:eastAsia="宋体" w:cs="宋体"/>
            </w:rPr>
            <w:fldChar w:fldCharType="end"/>
          </w:r>
        </w:p>
        <w:p w14:paraId="35AA98C3">
          <w:pPr>
            <w:pStyle w:val="27"/>
            <w:keepNext w:val="0"/>
            <w:keepLines w:val="0"/>
            <w:pageBreakBefore w:val="0"/>
            <w:widowControl/>
            <w:tabs>
              <w:tab w:val="right" w:leader="dot" w:pos="8312"/>
              <w:tab w:val="clear" w:pos="480"/>
              <w:tab w:val="clear" w:pos="720"/>
              <w:tab w:val="clear" w:pos="8494"/>
            </w:tabs>
            <w:kinsoku/>
            <w:wordWrap/>
            <w:overflowPunct/>
            <w:topLinePunct w:val="0"/>
            <w:autoSpaceDE/>
            <w:autoSpaceDN/>
            <w:bidi w:val="0"/>
            <w:adjustRightInd w:val="0"/>
            <w:snapToGrid w:val="0"/>
            <w:spacing w:line="360" w:lineRule="auto"/>
            <w:textAlignment w:val="auto"/>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_Toc9909 </w:instrText>
          </w:r>
          <w:r>
            <w:rPr>
              <w:rFonts w:hint="eastAsia" w:ascii="宋体" w:hAnsi="宋体" w:eastAsia="宋体" w:cs="宋体"/>
            </w:rPr>
            <w:fldChar w:fldCharType="separate"/>
          </w:r>
          <w:r>
            <w:rPr>
              <w:rFonts w:hint="eastAsia" w:ascii="宋体" w:hAnsi="宋体" w:eastAsia="宋体" w:cs="宋体"/>
              <w:lang w:val="en-US" w:eastAsia="zh-CN"/>
            </w:rPr>
            <w:t xml:space="preserve">4 </w:t>
          </w:r>
          <w:r>
            <w:rPr>
              <w:rFonts w:hint="eastAsia" w:ascii="宋体" w:hAnsi="宋体" w:eastAsia="宋体" w:cs="宋体"/>
            </w:rPr>
            <w:t>综合分析与建议</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_Toc9909 \h </w:instrText>
          </w:r>
          <w:r>
            <w:rPr>
              <w:rFonts w:hint="eastAsia" w:ascii="宋体" w:hAnsi="宋体" w:eastAsia="宋体" w:cs="宋体"/>
            </w:rPr>
            <w:fldChar w:fldCharType="separate"/>
          </w:r>
          <w:r>
            <w:rPr>
              <w:rFonts w:hint="eastAsia" w:ascii="宋体" w:hAnsi="宋体" w:eastAsia="宋体" w:cs="宋体"/>
            </w:rPr>
            <w:t>9</w:t>
          </w:r>
          <w:r>
            <w:rPr>
              <w:rFonts w:hint="eastAsia" w:ascii="宋体" w:hAnsi="宋体" w:eastAsia="宋体" w:cs="宋体"/>
            </w:rPr>
            <w:fldChar w:fldCharType="end"/>
          </w:r>
          <w:r>
            <w:rPr>
              <w:rFonts w:hint="eastAsia" w:ascii="宋体" w:hAnsi="宋体" w:eastAsia="宋体" w:cs="宋体"/>
            </w:rPr>
            <w:fldChar w:fldCharType="end"/>
          </w:r>
        </w:p>
        <w:p w14:paraId="0B7936C5">
          <w:pPr>
            <w:pStyle w:val="30"/>
            <w:keepNext w:val="0"/>
            <w:keepLines w:val="0"/>
            <w:pageBreakBefore w:val="0"/>
            <w:widowControl/>
            <w:tabs>
              <w:tab w:val="right" w:leader="dot" w:pos="8312"/>
              <w:tab w:val="clear" w:pos="1200"/>
              <w:tab w:val="clear" w:pos="8494"/>
            </w:tabs>
            <w:kinsoku/>
            <w:wordWrap/>
            <w:overflowPunct/>
            <w:topLinePunct w:val="0"/>
            <w:autoSpaceDE/>
            <w:autoSpaceDN/>
            <w:bidi w:val="0"/>
            <w:adjustRightInd w:val="0"/>
            <w:snapToGrid w:val="0"/>
            <w:spacing w:line="360" w:lineRule="auto"/>
            <w:textAlignment w:val="auto"/>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_Toc786 </w:instrText>
          </w:r>
          <w:r>
            <w:rPr>
              <w:rFonts w:hint="eastAsia" w:ascii="宋体" w:hAnsi="宋体" w:eastAsia="宋体" w:cs="宋体"/>
            </w:rPr>
            <w:fldChar w:fldCharType="separate"/>
          </w:r>
          <w:r>
            <w:rPr>
              <w:rFonts w:hint="eastAsia" w:ascii="宋体" w:hAnsi="宋体" w:eastAsia="宋体" w:cs="宋体"/>
              <w:lang w:val="en-US" w:eastAsia="zh-CN"/>
            </w:rPr>
            <w:t>4</w:t>
          </w:r>
          <w:r>
            <w:rPr>
              <w:rFonts w:hint="eastAsia" w:ascii="宋体" w:hAnsi="宋体" w:eastAsia="宋体" w:cs="宋体"/>
            </w:rPr>
            <w:t>.1 综合分析</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_Toc786 \h </w:instrText>
          </w:r>
          <w:r>
            <w:rPr>
              <w:rFonts w:hint="eastAsia" w:ascii="宋体" w:hAnsi="宋体" w:eastAsia="宋体" w:cs="宋体"/>
            </w:rPr>
            <w:fldChar w:fldCharType="separate"/>
          </w:r>
          <w:r>
            <w:rPr>
              <w:rFonts w:hint="eastAsia" w:ascii="宋体" w:hAnsi="宋体" w:eastAsia="宋体" w:cs="宋体"/>
            </w:rPr>
            <w:t>9</w:t>
          </w:r>
          <w:r>
            <w:rPr>
              <w:rFonts w:hint="eastAsia" w:ascii="宋体" w:hAnsi="宋体" w:eastAsia="宋体" w:cs="宋体"/>
            </w:rPr>
            <w:fldChar w:fldCharType="end"/>
          </w:r>
          <w:r>
            <w:rPr>
              <w:rFonts w:hint="eastAsia" w:ascii="宋体" w:hAnsi="宋体" w:eastAsia="宋体" w:cs="宋体"/>
            </w:rPr>
            <w:fldChar w:fldCharType="end"/>
          </w:r>
        </w:p>
        <w:p w14:paraId="115EED94">
          <w:pPr>
            <w:pStyle w:val="30"/>
            <w:keepNext w:val="0"/>
            <w:keepLines w:val="0"/>
            <w:pageBreakBefore w:val="0"/>
            <w:widowControl/>
            <w:tabs>
              <w:tab w:val="right" w:leader="dot" w:pos="8312"/>
              <w:tab w:val="clear" w:pos="1200"/>
              <w:tab w:val="clear" w:pos="8494"/>
            </w:tabs>
            <w:kinsoku/>
            <w:wordWrap/>
            <w:overflowPunct/>
            <w:topLinePunct w:val="0"/>
            <w:autoSpaceDE/>
            <w:autoSpaceDN/>
            <w:bidi w:val="0"/>
            <w:adjustRightInd w:val="0"/>
            <w:snapToGrid w:val="0"/>
            <w:spacing w:line="360" w:lineRule="auto"/>
            <w:textAlignment w:val="auto"/>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_Toc21967 </w:instrText>
          </w:r>
          <w:r>
            <w:rPr>
              <w:rFonts w:hint="eastAsia" w:ascii="宋体" w:hAnsi="宋体" w:eastAsia="宋体" w:cs="宋体"/>
            </w:rPr>
            <w:fldChar w:fldCharType="separate"/>
          </w:r>
          <w:r>
            <w:rPr>
              <w:rFonts w:hint="eastAsia" w:ascii="宋体" w:hAnsi="宋体" w:eastAsia="宋体" w:cs="宋体"/>
              <w:lang w:val="en-US" w:eastAsia="zh-CN"/>
            </w:rPr>
            <w:t>4.</w:t>
          </w:r>
          <w:r>
            <w:rPr>
              <w:rFonts w:hint="eastAsia" w:ascii="宋体" w:hAnsi="宋体" w:eastAsia="宋体" w:cs="宋体"/>
            </w:rPr>
            <w:t>2 运行维护建议</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_Toc21967 \h </w:instrText>
          </w:r>
          <w:r>
            <w:rPr>
              <w:rFonts w:hint="eastAsia" w:ascii="宋体" w:hAnsi="宋体" w:eastAsia="宋体" w:cs="宋体"/>
            </w:rPr>
            <w:fldChar w:fldCharType="separate"/>
          </w:r>
          <w:r>
            <w:rPr>
              <w:rFonts w:hint="eastAsia" w:ascii="宋体" w:hAnsi="宋体" w:eastAsia="宋体" w:cs="宋体"/>
            </w:rPr>
            <w:t>9</w:t>
          </w:r>
          <w:r>
            <w:rPr>
              <w:rFonts w:hint="eastAsia" w:ascii="宋体" w:hAnsi="宋体" w:eastAsia="宋体" w:cs="宋体"/>
            </w:rPr>
            <w:fldChar w:fldCharType="end"/>
          </w:r>
          <w:r>
            <w:rPr>
              <w:rFonts w:hint="eastAsia" w:ascii="宋体" w:hAnsi="宋体" w:eastAsia="宋体" w:cs="宋体"/>
            </w:rPr>
            <w:fldChar w:fldCharType="end"/>
          </w:r>
        </w:p>
        <w:p w14:paraId="68E75CEF">
          <w:pPr>
            <w:pStyle w:val="27"/>
            <w:keepNext w:val="0"/>
            <w:keepLines w:val="0"/>
            <w:pageBreakBefore w:val="0"/>
            <w:widowControl/>
            <w:tabs>
              <w:tab w:val="right" w:leader="dot" w:pos="8504"/>
            </w:tabs>
            <w:kinsoku/>
            <w:wordWrap/>
            <w:overflowPunct/>
            <w:topLinePunct w:val="0"/>
            <w:autoSpaceDE/>
            <w:autoSpaceDN/>
            <w:bidi w:val="0"/>
            <w:adjustRightInd w:val="0"/>
            <w:snapToGrid w:val="0"/>
            <w:spacing w:line="360" w:lineRule="auto"/>
            <w:textAlignment w:val="auto"/>
            <w:rPr>
              <w:rFonts w:hint="eastAsia" w:ascii="宋体" w:hAnsi="宋体" w:eastAsia="宋体" w:cs="宋体"/>
            </w:rPr>
          </w:pPr>
          <w:r>
            <w:rPr>
              <w:rFonts w:hint="eastAsia" w:ascii="宋体" w:hAnsi="宋体" w:eastAsia="宋体" w:cs="宋体"/>
            </w:rPr>
            <w:fldChar w:fldCharType="end"/>
          </w:r>
        </w:p>
      </w:sdtContent>
    </w:sdt>
    <w:p w14:paraId="530C4D11"/>
    <w:p w14:paraId="579D414B">
      <w:pPr>
        <w:rPr>
          <w:sz w:val="28"/>
          <w:szCs w:val="32"/>
        </w:rPr>
      </w:pPr>
      <w:r>
        <w:rPr>
          <w:rFonts w:ascii="Times New Roman" w:hAnsi="Times New Roman" w:eastAsia="宋体"/>
          <w:color w:val="000000"/>
          <w:sz w:val="28"/>
          <w:szCs w:val="32"/>
        </w:rPr>
        <w:br w:type="page"/>
      </w:r>
    </w:p>
    <w:p w14:paraId="5FF9429C">
      <w:pPr>
        <w:jc w:val="center"/>
        <w:rPr>
          <w:rFonts w:ascii="Times New Roman" w:hAnsi="Times New Roman" w:eastAsia="黑体"/>
          <w:b/>
          <w:color w:val="000000"/>
          <w:sz w:val="24"/>
        </w:rPr>
      </w:pPr>
      <w:bookmarkStart w:id="2" w:name="_Toc7207"/>
      <w:r>
        <w:rPr>
          <w:rFonts w:hint="eastAsia" w:ascii="Times New Roman" w:hAnsi="Times New Roman" w:eastAsia="宋体" w:cs="Times New Roman"/>
          <w:b/>
          <w:bCs/>
          <w:sz w:val="32"/>
          <w:szCs w:val="32"/>
        </w:rPr>
        <w:t xml:space="preserve">大唐新疆能源有限公司</w:t>
      </w:r>
      <w:r>
        <w:br w:type="textWrapping"/>
      </w:r>
      <w:r>
        <w:rPr>
          <w:rFonts w:hint="eastAsia" w:ascii="Times New Roman" w:hAnsi="Times New Roman" w:eastAsia="宋体" w:cs="Times New Roman"/>
          <w:b/>
          <w:bCs/>
          <w:sz w:val="32"/>
          <w:szCs w:val="32"/>
        </w:rPr>
        <w:t xml:space="preserve">新疆十三师风电场风机</w:t>
      </w:r>
      <w:r>
        <w:rPr>
          <w:rFonts w:hint="eastAsia" w:ascii="Times New Roman" w:hAnsi="Times New Roman" w:eastAsia="宋体" w:cs="Times New Roman"/>
          <w:b/>
          <w:bCs/>
          <w:sz w:val="32"/>
          <w:szCs w:val="32"/>
          <w:lang w:val="en-US" w:eastAsia="zh-CN"/>
        </w:rPr>
        <w:t>健康评估</w:t>
      </w:r>
      <w:r>
        <w:rPr>
          <w:rFonts w:hint="eastAsia" w:ascii="Times New Roman" w:hAnsi="Times New Roman" w:eastAsia="宋体" w:cs="Times New Roman"/>
          <w:b/>
          <w:bCs/>
          <w:sz w:val="32"/>
          <w:szCs w:val="32"/>
        </w:rPr>
        <w:t>析报告</w:t>
      </w:r>
    </w:p>
    <w:p w14:paraId="3DFE956D">
      <w:pPr>
        <w:pStyle w:val="3"/>
        <w:keepNext/>
        <w:rPr>
          <w:rFonts w:hint="eastAsia" w:ascii="黑体" w:hAnsi="黑体" w:eastAsia="黑体" w:cs="黑体"/>
          <w:sz w:val="30"/>
          <w:szCs w:val="30"/>
          <w:lang w:val="en-US" w:eastAsia="zh-CN"/>
        </w:rPr>
      </w:pPr>
      <w:r>
        <w:rPr>
          <w:rFonts w:hint="default" w:ascii="Times New Roman" w:hAnsi="Times New Roman" w:eastAsia="黑体" w:cs="Times New Roman"/>
          <w:b/>
          <w:color w:val="000000"/>
          <w:sz w:val="30"/>
          <w:szCs w:val="30"/>
        </w:rPr>
        <w:t>1</w:t>
      </w:r>
      <w:r>
        <w:rPr>
          <w:rFonts w:hint="eastAsia" w:ascii="黑体" w:hAnsi="黑体" w:eastAsia="黑体" w:cs="黑体"/>
          <w:b/>
          <w:color w:val="000000"/>
          <w:sz w:val="30"/>
          <w:szCs w:val="30"/>
        </w:rPr>
        <w:t xml:space="preserve"> </w:t>
      </w:r>
      <w:r>
        <w:rPr>
          <w:rFonts w:hint="eastAsia" w:ascii="黑体" w:hAnsi="黑体" w:eastAsia="黑体" w:cs="黑体"/>
          <w:b/>
          <w:color w:val="000000"/>
          <w:sz w:val="30"/>
          <w:szCs w:val="30"/>
          <w:lang w:val="en-US" w:eastAsia="zh-CN"/>
        </w:rPr>
        <w:t>项目概况</w:t>
      </w:r>
      <w:bookmarkEnd w:id="2"/>
    </w:p>
    <w:p w14:paraId="14EFD2A9">
      <w:pPr>
        <w:pStyle w:val="4"/>
        <w:widowControl/>
        <w:numPr>
          <w:ilvl w:val="1"/>
          <w:numId w:val="7"/>
        </w:numPr>
        <w:wordWrap w:val="0"/>
        <w:adjustRightInd/>
        <w:snapToGrid w:val="0"/>
        <w:spacing w:before="240" w:after="120" w:line="400" w:lineRule="exact"/>
        <w:ind w:left="0"/>
        <w:jc w:val="left"/>
        <w:rPr>
          <w:rFonts w:hint="default" w:ascii="Times New Roman" w:hAnsi="Times New Roman" w:eastAsia="黑体" w:cs="Times New Roman"/>
          <w:b w:val="0"/>
          <w:kern w:val="2"/>
          <w:sz w:val="28"/>
          <w:szCs w:val="28"/>
          <w:lang w:val="en-US" w:eastAsia="zh-CN"/>
        </w:rPr>
      </w:pPr>
      <w:bookmarkStart w:id="3" w:name="_Toc14811"/>
      <w:r>
        <w:rPr>
          <w:rFonts w:hint="eastAsia" w:ascii="Times New Roman" w:hAnsi="Times New Roman" w:eastAsia="黑体" w:cs="Times New Roman"/>
          <w:b w:val="0"/>
          <w:kern w:val="2"/>
          <w:sz w:val="28"/>
          <w:szCs w:val="28"/>
          <w:lang w:val="en-US" w:eastAsia="zh-CN"/>
        </w:rPr>
        <w:t xml:space="preserve"> 项目概要</w:t>
      </w:r>
      <w:bookmarkEnd w:id="3"/>
    </w:p>
    <w:p w14:paraId="5006D760">
      <w:pPr>
        <w:keepLines w:val="0"/>
        <w:ind w:firstLine="420"/>
        <w:rPr>
          <w:rFonts w:hint="eastAsia" w:ascii="宋体" w:hAnsi="宋体" w:eastAsia="宋体" w:cs="宋体"/>
          <w:sz w:val="24"/>
          <w:szCs w:val="28"/>
        </w:rPr>
      </w:pPr>
      <w:r>
        <w:rPr>
          <w:rFonts w:hint="eastAsia" w:ascii="宋体" w:hAnsi="宋体" w:eastAsia="宋体" w:cs="宋体"/>
          <w:color w:val="000000"/>
          <w:sz w:val="24"/>
          <w:szCs w:val="28"/>
        </w:rPr>
        <w:t xml:space="preserve">本报告依据十三师风电场风电机组健康评估系统在2026-08-13形成的评估结果，对风场整体健康状态、系统健康状态、部件健康状态、结构健康状态以及各风机健康等级分布情况进行汇总分析。</w:t>
      </w:r>
      <w:r>
        <w:rPr>
          <w:rFonts w:hint="eastAsia" w:ascii="宋体" w:hAnsi="宋体" w:eastAsia="宋体" w:cs="宋体"/>
          <w:color w:val="000000"/>
          <w:sz w:val="24"/>
          <w:szCs w:val="28"/>
          <w:lang w:val="en-US" w:eastAsia="zh-CN"/>
        </w:rPr>
        <w:t/>
      </w:r>
      <w:r>
        <w:rPr>
          <w:rFonts w:hint="eastAsia" w:ascii="宋体" w:hAnsi="宋体" w:eastAsia="宋体" w:cs="宋体"/>
          <w:color w:val="000000"/>
          <w:sz w:val="24"/>
          <w:szCs w:val="28"/>
        </w:rPr>
        <w:t/>
      </w:r>
    </w:p>
    <w:p w14:paraId="6A36D812">
      <w:pPr>
        <w:keepLines w:val="0"/>
        <w:ind w:firstLine="420"/>
        <w:rPr>
          <w:rFonts w:hint="eastAsia" w:ascii="宋体" w:hAnsi="宋体" w:eastAsia="宋体" w:cs="宋体"/>
          <w:sz w:val="24"/>
          <w:szCs w:val="28"/>
        </w:rPr>
      </w:pPr>
      <w:r>
        <w:rPr>
          <w:rFonts w:hint="eastAsia" w:ascii="宋体" w:hAnsi="宋体" w:eastAsia="宋体" w:cs="宋体"/>
          <w:color w:val="000000"/>
          <w:sz w:val="24"/>
          <w:szCs w:val="28"/>
        </w:rPr>
        <w:t>报告用于反映风电机组在较长时间范围内相对于健康基线的运行状态，为风场运行维护、状态跟踪和重点机组筛查提供参考。评估结果属于状态提示性结果，不直接等同于设备故障诊断、故障定位或检修结论。</w:t>
      </w:r>
    </w:p>
    <w:p w14:paraId="2690AF08">
      <w:pPr>
        <w:pStyle w:val="4"/>
        <w:widowControl/>
        <w:numPr>
          <w:ilvl w:val="1"/>
          <w:numId w:val="7"/>
        </w:numPr>
        <w:wordWrap w:val="0"/>
        <w:adjustRightInd/>
        <w:snapToGrid w:val="0"/>
        <w:spacing w:before="240" w:after="120" w:line="400" w:lineRule="exact"/>
        <w:ind w:left="0"/>
        <w:jc w:val="left"/>
        <w:rPr>
          <w:rFonts w:hint="default" w:ascii="Times New Roman" w:hAnsi="Times New Roman" w:eastAsia="黑体" w:cs="Times New Roman"/>
          <w:b w:val="0"/>
          <w:kern w:val="2"/>
          <w:sz w:val="28"/>
          <w:szCs w:val="28"/>
          <w:lang w:val="en-US" w:eastAsia="zh-CN"/>
        </w:rPr>
      </w:pPr>
      <w:bookmarkStart w:id="4" w:name="_Toc17636"/>
      <w:r>
        <w:rPr>
          <w:rFonts w:hint="eastAsia" w:ascii="Times New Roman" w:hAnsi="Times New Roman" w:eastAsia="黑体" w:cs="Times New Roman"/>
          <w:b w:val="0"/>
          <w:kern w:val="2"/>
          <w:sz w:val="28"/>
          <w:szCs w:val="28"/>
          <w:lang w:val="en-US" w:eastAsia="zh-CN"/>
        </w:rPr>
        <w:t xml:space="preserve"> 检测范围</w:t>
      </w:r>
      <w:bookmarkEnd w:id="4"/>
    </w:p>
    <w:p w14:paraId="53FDF438">
      <w:pPr>
        <w:keepLines w:val="0"/>
        <w:ind w:firstLine="420"/>
        <w:rPr>
          <w:rFonts w:hint="eastAsia" w:ascii="宋体" w:hAnsi="宋体" w:eastAsia="宋体" w:cs="宋体"/>
          <w:sz w:val="24"/>
          <w:szCs w:val="28"/>
        </w:rPr>
      </w:pPr>
      <w:r>
        <w:rPr>
          <w:rFonts w:hint="eastAsia" w:ascii="宋体" w:hAnsi="宋体" w:eastAsia="宋体" w:cs="宋体"/>
          <w:color w:val="000000"/>
          <w:sz w:val="24"/>
          <w:szCs w:val="28"/>
        </w:rPr>
        <w:t xml:space="preserve">本次评估对象为十三师风电场内具备评估条件的风电机组。系统以评估日期对应的滚动30天SCADA分钟级数据</w:t>
      </w:r>
      <w:r>
        <w:rPr>
          <w:rFonts w:hint="eastAsia" w:ascii="宋体" w:hAnsi="宋体" w:eastAsia="宋体" w:cs="宋体"/>
          <w:color w:val="000000"/>
          <w:sz w:val="24"/>
          <w:szCs w:val="28"/>
          <w:lang w:eastAsia="zh-CN"/>
        </w:rPr>
        <w:t>、</w:t>
      </w:r>
      <w:r>
        <w:rPr>
          <w:rFonts w:hint="eastAsia" w:ascii="宋体" w:hAnsi="宋体" w:eastAsia="宋体" w:cs="宋体"/>
          <w:color w:val="000000"/>
          <w:sz w:val="24"/>
          <w:szCs w:val="28"/>
          <w:lang w:val="en-US" w:eastAsia="zh-CN"/>
        </w:rPr>
        <w:t>CMS数据</w:t>
      </w:r>
      <w:r>
        <w:rPr>
          <w:rFonts w:hint="eastAsia" w:ascii="宋体" w:hAnsi="宋体" w:eastAsia="宋体" w:cs="宋体"/>
          <w:color w:val="000000"/>
          <w:sz w:val="24"/>
          <w:szCs w:val="28"/>
        </w:rPr>
        <w:t>为主要输入，形成风机级和风场级健康评估结果。报告使用所选日期已经生成并入库的结果，不重新执行模型计算。</w:t>
      </w:r>
    </w:p>
    <w:tbl>
      <w:tblPr>
        <w:tblStyle w:val="36"/>
        <w:tblW w:w="0" w:type="auto"/>
        <w:jc w:val="center"/>
        <w:tblLayout w:type="fixed"/>
        <w:tblCellMar>
          <w:top w:w="0" w:type="dxa"/>
          <w:left w:w="108" w:type="dxa"/>
          <w:bottom w:w="0" w:type="dxa"/>
          <w:right w:w="108" w:type="dxa"/>
        </w:tblCellMar>
      </w:tblPr>
      <w:tblGrid>
        <w:gridCol w:w="4156"/>
        <w:gridCol w:w="4156"/>
      </w:tblGrid>
      <w:tr w14:paraId="4F11F748">
        <w:trPr>
          <w:tblHeader/>
          <w:jc w:val="center"/>
        </w:trPr>
        <w:tc>
          <w:tcPr>
            <w:tcW w:w="4156"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30296E7A">
            <w:pPr>
              <w:spacing w:before="0" w:after="0" w:line="240" w:lineRule="auto"/>
              <w:jc w:val="center"/>
            </w:pPr>
            <w:r>
              <w:rPr>
                <w:rFonts w:ascii="Times New Roman" w:hAnsi="Times New Roman" w:eastAsia="宋体"/>
                <w:b/>
                <w:color w:val="000000"/>
                <w:sz w:val="19"/>
              </w:rPr>
              <w:t>项目</w:t>
            </w:r>
          </w:p>
        </w:tc>
        <w:tc>
          <w:tcPr>
            <w:tcW w:w="4156"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7A70DF64">
            <w:pPr>
              <w:spacing w:before="0" w:after="0" w:line="240" w:lineRule="auto"/>
              <w:jc w:val="center"/>
            </w:pPr>
            <w:r>
              <w:rPr>
                <w:rFonts w:ascii="Times New Roman" w:hAnsi="Times New Roman" w:eastAsia="宋体"/>
                <w:b/>
                <w:color w:val="000000"/>
                <w:sz w:val="19"/>
              </w:rPr>
              <w:t>内容</w:t>
            </w:r>
          </w:p>
        </w:tc>
      </w:tr>
      <w:tr w14:paraId="7D394AD0">
        <w:trPr>
          <w:jc w:val="center"/>
        </w:trPr>
        <w:tc>
          <w:tcPr>
            <w:tcW w:w="4156"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5173547B">
            <w:pPr>
              <w:spacing w:before="0" w:after="0" w:line="240" w:lineRule="auto"/>
              <w:jc w:val="left"/>
            </w:pPr>
            <w:r>
              <w:rPr>
                <w:rFonts w:ascii="Times New Roman" w:hAnsi="Times New Roman" w:eastAsia="宋体"/>
                <w:b w:val="0"/>
                <w:color w:val="000000"/>
                <w:sz w:val="19"/>
              </w:rPr>
              <w:t>风场名称</w:t>
            </w:r>
          </w:p>
        </w:tc>
        <w:tc>
          <w:tcPr>
            <w:tcW w:w="4156"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1216C753">
            <w:pPr>
              <w:spacing w:before="0" w:after="0" w:line="240" w:lineRule="auto"/>
              <w:jc w:val="left"/>
            </w:pPr>
            <w:r>
              <w:rPr>
                <w:rFonts w:ascii="Times New Roman" w:hAnsi="Times New Roman" w:eastAsia="宋体"/>
                <w:b w:val="0"/>
                <w:color w:val="000000"/>
                <w:sz w:val="19"/>
              </w:rPr>
              <w:t xml:space="preserve">十三师风电场</w:t>
            </w:r>
          </w:p>
        </w:tc>
      </w:tr>
      <w:tr w14:paraId="14BE1869">
        <w:trPr>
          <w:jc w:val="center"/>
        </w:trPr>
        <w:tc>
          <w:tcPr>
            <w:tcW w:w="4156"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36D24183">
            <w:pPr>
              <w:spacing w:before="0" w:after="0" w:line="240" w:lineRule="auto"/>
              <w:jc w:val="left"/>
            </w:pPr>
            <w:r>
              <w:rPr>
                <w:rFonts w:ascii="Times New Roman" w:hAnsi="Times New Roman" w:eastAsia="宋体"/>
                <w:b w:val="0"/>
                <w:color w:val="000000"/>
                <w:sz w:val="19"/>
              </w:rPr>
              <w:t>评估数据范围</w:t>
            </w:r>
          </w:p>
        </w:tc>
        <w:tc>
          <w:tcPr>
            <w:tcW w:w="4156"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0BA61E10">
            <w:pPr>
              <w:spacing w:before="0" w:after="0" w:line="240" w:lineRule="auto"/>
              <w:jc w:val="left"/>
            </w:pPr>
            <w:r>
              <w:rPr>
                <w:rFonts w:ascii="Times New Roman" w:hAnsi="Times New Roman" w:eastAsia="宋体"/>
                <w:b w:val="0"/>
                <w:color w:val="000000"/>
                <w:sz w:val="19"/>
              </w:rPr>
              <w:t xml:space="preserve">2026-07-14至2026-08-12（滚动30天）</w:t>
            </w:r>
            <w:r>
              <w:rPr>
                <w:rFonts w:hint="eastAsia"/>
                <w:b w:val="0"/>
                <w:color w:val="000000"/>
                <w:sz w:val="19"/>
                <w:lang w:val="en-US" w:eastAsia="zh-CN"/>
              </w:rPr>
              <w:t/>
            </w:r>
            <w:r>
              <w:rPr>
                <w:rFonts w:ascii="Times New Roman" w:hAnsi="Times New Roman" w:eastAsia="宋体"/>
                <w:b w:val="0"/>
                <w:color w:val="000000"/>
                <w:sz w:val="19"/>
              </w:rPr>
              <w:t/>
            </w:r>
            <w:r>
              <w:rPr>
                <w:rFonts w:hint="eastAsia"/>
                <w:b w:val="0"/>
                <w:color w:val="000000"/>
                <w:sz w:val="19"/>
                <w:lang w:val="en-US" w:eastAsia="zh-CN"/>
              </w:rPr>
              <w:t/>
            </w:r>
            <w:r>
              <w:rPr>
                <w:rFonts w:ascii="Times New Roman" w:hAnsi="Times New Roman" w:eastAsia="宋体"/>
                <w:b w:val="0"/>
                <w:color w:val="000000"/>
                <w:sz w:val="19"/>
              </w:rPr>
              <w:t/>
            </w:r>
            <w:r>
              <w:rPr>
                <w:rFonts w:hint="eastAsia"/>
                <w:b w:val="0"/>
                <w:color w:val="000000"/>
                <w:sz w:val="19"/>
                <w:lang w:val="en-US" w:eastAsia="zh-CN"/>
              </w:rPr>
              <w:t/>
            </w:r>
            <w:r>
              <w:rPr>
                <w:rFonts w:ascii="Times New Roman" w:hAnsi="Times New Roman" w:eastAsia="宋体"/>
                <w:b w:val="0"/>
                <w:color w:val="000000"/>
                <w:sz w:val="19"/>
              </w:rPr>
              <w:t/>
            </w:r>
          </w:p>
        </w:tc>
      </w:tr>
      <w:tr w14:paraId="2E9F773D">
        <w:trPr>
          <w:jc w:val="center"/>
        </w:trPr>
        <w:tc>
          <w:tcPr>
            <w:tcW w:w="4156"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0FB5A9CC">
            <w:pPr>
              <w:spacing w:before="0" w:after="0" w:line="240" w:lineRule="auto"/>
              <w:jc w:val="left"/>
            </w:pPr>
            <w:r>
              <w:rPr>
                <w:rFonts w:ascii="Times New Roman" w:hAnsi="Times New Roman" w:eastAsia="宋体"/>
                <w:b w:val="0"/>
                <w:color w:val="000000"/>
                <w:sz w:val="19"/>
              </w:rPr>
              <w:t>参评机组数量</w:t>
            </w:r>
          </w:p>
        </w:tc>
        <w:tc>
          <w:tcPr>
            <w:tcW w:w="4156"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3C7D466D">
            <w:pPr>
              <w:spacing w:before="0" w:after="0" w:line="240" w:lineRule="auto"/>
              <w:jc w:val="left"/>
            </w:pPr>
            <w:r>
              <w:rPr>
                <w:rFonts w:ascii="Times New Roman" w:hAnsi="Times New Roman" w:eastAsia="宋体"/>
                <w:b w:val="0"/>
                <w:color w:val="000000"/>
                <w:sz w:val="19"/>
              </w:rPr>
              <w:t xml:space="preserve">1台</w:t>
            </w:r>
          </w:p>
        </w:tc>
      </w:tr>
      <w:tr w14:paraId="6CB23B61">
        <w:trPr>
          <w:jc w:val="center"/>
        </w:trPr>
        <w:tc>
          <w:tcPr>
            <w:tcW w:w="4156"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6FDB863D">
            <w:pPr>
              <w:spacing w:before="0" w:after="0" w:line="240" w:lineRule="auto"/>
              <w:jc w:val="left"/>
            </w:pPr>
            <w:r>
              <w:rPr>
                <w:rFonts w:ascii="Times New Roman" w:hAnsi="Times New Roman" w:eastAsia="宋体"/>
                <w:b w:val="0"/>
                <w:color w:val="000000"/>
                <w:sz w:val="19"/>
              </w:rPr>
              <w:t>形成有效综合评分机组数量</w:t>
            </w:r>
          </w:p>
        </w:tc>
        <w:tc>
          <w:tcPr>
            <w:tcW w:w="4156"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3C8C5E47">
            <w:pPr>
              <w:spacing w:before="0" w:after="0" w:line="240" w:lineRule="auto"/>
              <w:jc w:val="left"/>
            </w:pPr>
            <w:r>
              <w:rPr>
                <w:rFonts w:ascii="Times New Roman" w:hAnsi="Times New Roman" w:eastAsia="宋体"/>
                <w:b w:val="0"/>
                <w:color w:val="000000"/>
                <w:sz w:val="19"/>
              </w:rPr>
              <w:t xml:space="preserve">1台</w:t>
            </w:r>
          </w:p>
        </w:tc>
      </w:tr>
      <w:tr w14:paraId="58FA584E">
        <w:trPr>
          <w:jc w:val="center"/>
        </w:trPr>
        <w:tc>
          <w:tcPr>
            <w:tcW w:w="4156"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2572783A">
            <w:pPr>
              <w:spacing w:before="0" w:after="0" w:line="240" w:lineRule="auto"/>
              <w:jc w:val="left"/>
            </w:pPr>
            <w:r>
              <w:rPr>
                <w:rFonts w:ascii="Times New Roman" w:hAnsi="Times New Roman" w:eastAsia="宋体"/>
                <w:b w:val="0"/>
                <w:color w:val="000000"/>
                <w:sz w:val="19"/>
              </w:rPr>
              <w:t>涉及机型</w:t>
            </w:r>
          </w:p>
        </w:tc>
        <w:tc>
          <w:tcPr>
            <w:tcW w:w="4156"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3C9A7BB9">
            <w:pPr>
              <w:spacing w:before="0" w:after="0" w:line="240" w:lineRule="auto"/>
              <w:jc w:val="left"/>
            </w:pPr>
            <w:r>
              <w:rPr>
                <w:rFonts w:ascii="Times New Roman" w:hAnsi="Times New Roman" w:eastAsia="宋体"/>
                <w:b w:val="0"/>
                <w:color w:val="000000"/>
                <w:sz w:val="19"/>
              </w:rPr>
              <w:t xml:space="preserve">TEST</w:t>
            </w:r>
          </w:p>
        </w:tc>
      </w:tr>
      <w:tr w14:paraId="5C9EDC17">
        <w:trPr>
          <w:jc w:val="center"/>
        </w:trPr>
        <w:tc>
          <w:tcPr>
            <w:tcW w:w="4156"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6EBEF658">
            <w:pPr>
              <w:spacing w:before="0" w:after="0" w:line="240" w:lineRule="auto"/>
              <w:jc w:val="left"/>
            </w:pPr>
            <w:r>
              <w:rPr>
                <w:rFonts w:ascii="Times New Roman" w:hAnsi="Times New Roman" w:eastAsia="宋体"/>
                <w:b w:val="0"/>
                <w:color w:val="000000"/>
                <w:sz w:val="19"/>
              </w:rPr>
              <w:t>报告生成时间</w:t>
            </w:r>
          </w:p>
        </w:tc>
        <w:tc>
          <w:tcPr>
            <w:tcW w:w="4156"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4F1AD10A">
            <w:pPr>
              <w:spacing w:before="0" w:after="0" w:line="240" w:lineRule="auto"/>
              <w:jc w:val="left"/>
            </w:pPr>
            <w:r>
              <w:rPr>
                <w:rFonts w:ascii="Times New Roman" w:hAnsi="Times New Roman" w:eastAsia="宋体"/>
                <w:b w:val="0"/>
                <w:color w:val="000000"/>
                <w:sz w:val="19"/>
              </w:rPr>
              <w:t xml:space="preserve">2026-08-13</w:t>
            </w:r>
          </w:p>
        </w:tc>
      </w:tr>
    </w:tbl>
    <w:p w14:paraId="0CEF811F">
      <w:pPr>
        <w:keepLines w:val="0"/>
        <w:ind w:firstLine="420"/>
        <w:rPr>
          <w:rFonts w:hint="eastAsia" w:ascii="宋体" w:hAnsi="宋体" w:eastAsia="宋体" w:cs="宋体"/>
          <w:sz w:val="24"/>
          <w:szCs w:val="24"/>
        </w:rPr>
      </w:pPr>
      <w:r>
        <w:rPr>
          <w:rFonts w:hint="eastAsia" w:ascii="宋体" w:hAnsi="宋体" w:eastAsia="宋体" w:cs="宋体"/>
          <w:color w:val="000000"/>
          <w:sz w:val="24"/>
          <w:szCs w:val="24"/>
        </w:rPr>
        <w:t>对于因数据完整性、机型模型配置或结构评估输入条件不足而未形成有效评分的项目，报告中统一标记为“/”。无效评分不参与对应风场平均分计算，也不作为设备状态异常依据。</w:t>
      </w:r>
    </w:p>
    <w:p w14:paraId="28E900F6">
      <w:pPr>
        <w:pStyle w:val="4"/>
        <w:widowControl/>
        <w:numPr>
          <w:ilvl w:val="1"/>
          <w:numId w:val="7"/>
        </w:numPr>
        <w:wordWrap w:val="0"/>
        <w:adjustRightInd/>
        <w:snapToGrid w:val="0"/>
        <w:spacing w:before="240" w:after="120" w:line="400" w:lineRule="exact"/>
        <w:ind w:left="0"/>
        <w:jc w:val="left"/>
        <w:rPr>
          <w:rFonts w:hint="eastAsia" w:ascii="Times New Roman" w:hAnsi="Times New Roman" w:eastAsia="黑体" w:cs="Times New Roman"/>
          <w:b w:val="0"/>
          <w:kern w:val="2"/>
          <w:sz w:val="28"/>
          <w:szCs w:val="28"/>
          <w:lang w:val="en-US" w:eastAsia="zh-CN"/>
        </w:rPr>
      </w:pPr>
      <w:bookmarkStart w:id="5" w:name="_Toc26637"/>
      <w:r>
        <w:rPr>
          <w:rFonts w:hint="eastAsia" w:ascii="Times New Roman" w:hAnsi="Times New Roman" w:eastAsia="黑体" w:cs="Times New Roman"/>
          <w:b w:val="0"/>
          <w:kern w:val="2"/>
          <w:sz w:val="28"/>
          <w:szCs w:val="28"/>
          <w:lang w:val="en-US" w:eastAsia="zh-CN"/>
        </w:rPr>
        <w:t xml:space="preserve"> 健康评估内容</w:t>
      </w:r>
      <w:bookmarkEnd w:id="5"/>
    </w:p>
    <w:p w14:paraId="2DC64D6B">
      <w:pPr>
        <w:keepLines w:val="0"/>
        <w:ind w:firstLine="420"/>
        <w:rPr>
          <w:rFonts w:hint="eastAsia" w:ascii="宋体" w:hAnsi="宋体" w:eastAsia="宋体" w:cs="宋体"/>
          <w:sz w:val="24"/>
          <w:szCs w:val="28"/>
        </w:rPr>
      </w:pPr>
      <w:r>
        <w:rPr>
          <w:rFonts w:hint="eastAsia" w:ascii="宋体" w:hAnsi="宋体" w:eastAsia="宋体" w:cs="宋体"/>
          <w:color w:val="000000"/>
          <w:sz w:val="24"/>
          <w:szCs w:val="28"/>
        </w:rPr>
        <w:t>健康评估包含“系统与部件健康评估”和“结构健康评估”两个子功能。</w:t>
      </w:r>
    </w:p>
    <w:p w14:paraId="48B455ED">
      <w:pPr>
        <w:spacing w:after="40"/>
        <w:ind w:left="420" w:hanging="210"/>
        <w:rPr>
          <w:rFonts w:hint="eastAsia" w:ascii="宋体" w:hAnsi="宋体" w:eastAsia="宋体" w:cs="宋体"/>
          <w:sz w:val="24"/>
          <w:szCs w:val="28"/>
        </w:rPr>
      </w:pPr>
      <w:r>
        <w:rPr>
          <w:rFonts w:hint="eastAsia" w:ascii="宋体" w:hAnsi="宋体" w:eastAsia="宋体" w:cs="宋体"/>
          <w:color w:val="000000"/>
          <w:sz w:val="24"/>
          <w:szCs w:val="28"/>
        </w:rPr>
        <w:t>• 系统与部件健康评估：系统评价对象包括偏航系统、变桨系统、主控系统和液压系统；部件评价对象包括发电机、变流器、齿轮箱和主轴。</w:t>
      </w:r>
    </w:p>
    <w:p w14:paraId="69706A3F">
      <w:pPr>
        <w:spacing w:after="40"/>
        <w:ind w:left="420" w:hanging="210"/>
        <w:rPr>
          <w:rFonts w:hint="eastAsia" w:ascii="宋体" w:hAnsi="宋体" w:eastAsia="宋体" w:cs="宋体"/>
          <w:sz w:val="24"/>
          <w:szCs w:val="28"/>
        </w:rPr>
      </w:pPr>
      <w:r>
        <w:rPr>
          <w:rFonts w:hint="eastAsia" w:ascii="宋体" w:hAnsi="宋体" w:eastAsia="宋体" w:cs="宋体"/>
          <w:color w:val="000000"/>
          <w:sz w:val="24"/>
          <w:szCs w:val="28"/>
        </w:rPr>
        <w:t>• 结构健康评估：结构评价对象包括叶轮和塔筒，主要反映叶片及塔筒在当前运行工况下的相对疲劳健康状态。</w:t>
      </w:r>
    </w:p>
    <w:p w14:paraId="6F287F9E">
      <w:pPr>
        <w:keepLines w:val="0"/>
        <w:ind w:firstLine="420"/>
      </w:pPr>
      <w:r>
        <w:rPr>
          <w:rFonts w:hint="eastAsia" w:ascii="宋体" w:hAnsi="宋体" w:eastAsia="宋体" w:cs="宋体"/>
          <w:color w:val="000000"/>
          <w:sz w:val="24"/>
          <w:szCs w:val="28"/>
        </w:rPr>
        <w:t>风机综合健康评分由系统健康评分、部件健康评分和结构健康评分中的有效结果综合形成。风场级评分由风场内各台风机对应维度的有效评分汇总形成。</w:t>
      </w:r>
    </w:p>
    <w:p w14:paraId="03CA802D">
      <w:pPr>
        <w:pStyle w:val="3"/>
        <w:keepNext/>
        <w:rPr>
          <w:rFonts w:hint="eastAsia" w:ascii="Times New Roman" w:hAnsi="Times New Roman" w:eastAsia="黑体" w:cs="Times New Roman"/>
          <w:b/>
          <w:color w:val="000000"/>
          <w:sz w:val="30"/>
          <w:szCs w:val="30"/>
        </w:rPr>
      </w:pPr>
      <w:bookmarkStart w:id="6" w:name="_Toc8120"/>
      <w:r>
        <w:rPr>
          <w:rFonts w:hint="eastAsia" w:ascii="Times New Roman" w:hAnsi="Times New Roman" w:eastAsia="黑体" w:cs="Times New Roman"/>
          <w:b/>
          <w:color w:val="000000"/>
          <w:sz w:val="30"/>
          <w:szCs w:val="30"/>
        </w:rPr>
        <w:t xml:space="preserve">2 </w:t>
      </w:r>
      <w:r>
        <w:rPr>
          <w:rFonts w:hint="eastAsia" w:ascii="Times New Roman" w:hAnsi="Times New Roman" w:eastAsia="黑体" w:cs="Times New Roman"/>
          <w:b/>
          <w:color w:val="000000"/>
          <w:sz w:val="30"/>
          <w:szCs w:val="30"/>
          <w:lang w:val="en-US" w:eastAsia="zh-CN"/>
        </w:rPr>
        <w:t xml:space="preserve"> </w:t>
      </w:r>
      <w:r>
        <w:rPr>
          <w:rFonts w:hint="eastAsia" w:ascii="Times New Roman" w:hAnsi="Times New Roman" w:eastAsia="黑体" w:cs="Times New Roman"/>
          <w:b/>
          <w:color w:val="000000"/>
          <w:sz w:val="30"/>
          <w:szCs w:val="30"/>
        </w:rPr>
        <w:t>风场健康评估总体结果</w:t>
      </w:r>
      <w:bookmarkEnd w:id="6"/>
    </w:p>
    <w:p w14:paraId="1F70041A">
      <w:pPr>
        <w:pStyle w:val="4"/>
        <w:keepNext/>
        <w:keepLines/>
        <w:pageBreakBefore w:val="0"/>
        <w:widowControl/>
        <w:numPr>
          <w:ilvl w:val="0"/>
          <w:numId w:val="0"/>
        </w:numPr>
        <w:kinsoku/>
        <w:wordWrap w:val="0"/>
        <w:overflowPunct/>
        <w:topLinePunct w:val="0"/>
        <w:autoSpaceDE/>
        <w:autoSpaceDN/>
        <w:bidi w:val="0"/>
        <w:adjustRightInd/>
        <w:snapToGrid w:val="0"/>
        <w:spacing w:before="240" w:after="120" w:line="400" w:lineRule="exact"/>
        <w:ind w:leftChars="0"/>
        <w:jc w:val="left"/>
        <w:textAlignment w:val="auto"/>
        <w:rPr>
          <w:rFonts w:hint="eastAsia" w:ascii="黑体" w:hAnsi="黑体" w:eastAsia="黑体" w:cs="黑体"/>
          <w:b/>
          <w:bCs w:val="0"/>
          <w:kern w:val="2"/>
          <w:sz w:val="28"/>
          <w:szCs w:val="28"/>
          <w:lang w:val="en-US" w:eastAsia="zh-CN"/>
        </w:rPr>
      </w:pPr>
      <w:bookmarkStart w:id="7" w:name="_Toc2928"/>
      <w:r>
        <w:rPr>
          <w:rFonts w:hint="default" w:ascii="Times New Roman" w:hAnsi="Times New Roman" w:eastAsia="黑体" w:cs="Times New Roman"/>
          <w:b/>
          <w:bCs w:val="0"/>
          <w:kern w:val="2"/>
          <w:sz w:val="28"/>
          <w:szCs w:val="28"/>
          <w:lang w:val="en-US" w:eastAsia="zh-CN"/>
        </w:rPr>
        <w:t>2.1</w:t>
      </w:r>
      <w:r>
        <w:rPr>
          <w:rFonts w:hint="eastAsia" w:ascii="黑体" w:hAnsi="黑体" w:eastAsia="黑体" w:cs="黑体"/>
          <w:b/>
          <w:bCs w:val="0"/>
          <w:kern w:val="2"/>
          <w:sz w:val="28"/>
          <w:szCs w:val="28"/>
          <w:lang w:val="en-US" w:eastAsia="zh-CN"/>
        </w:rPr>
        <w:t xml:space="preserve"> </w:t>
      </w:r>
      <w:r>
        <w:rPr>
          <w:rFonts w:hint="eastAsia" w:ascii="黑体" w:hAnsi="黑体" w:eastAsia="黑体" w:cs="黑体"/>
          <w:b w:val="0"/>
          <w:bCs/>
          <w:kern w:val="2"/>
          <w:sz w:val="28"/>
          <w:szCs w:val="28"/>
          <w:lang w:val="en-US" w:eastAsia="zh-CN"/>
        </w:rPr>
        <w:t>风场综合健康状态</w:t>
      </w:r>
      <w:bookmarkEnd w:id="7"/>
    </w:p>
    <w:p>
      <w:pPr>
        <w:jc w:val="center"/>
      </w:pPr>
      <w:r>
        <w:rPr/>
        <w:drawing>
          <wp:inline distT="0" distB="0" distL="0" distR="0">
            <wp:extent cx="4953000" cy="2733675"/>
            <wp:docPr id="0" name="Picture" descr=""/>
            <a:graphic xmlns:a="http://schemas.openxmlformats.org/drawingml/2006/main">
              <a:graphicData uri="http://schemas.openxmlformats.org/drawingml/2006/picture">
                <pic:pic xmlns:pic="http://schemas.openxmlformats.org/drawingml/2006/picture">
                  <pic:nvPicPr>
                    <pic:cNvPr id="0" name="Picture" descr=""/>
                    <pic:cNvPicPr>
                      <a:picLocks noChangeAspect="1" noChangeArrowheads="1"/>
                    </pic:cNvPicPr>
                  </pic:nvPicPr>
                  <pic:blipFill>
                    <a:blip r:embed="rId30"/>
                    <a:stretch>
                      <a:fillRect/>
                    </a:stretch>
                  </pic:blipFill>
                  <pic:spPr bwMode="auto">
                    <a:xfrm>
                      <a:off x="0" y="0"/>
                      <a:ext cx="4953000" cy="2733675"/>
                    </a:xfrm>
                    <a:prstGeom prst="rect">
                      <a:avLst/>
                    </a:prstGeom>
                    <a:noFill/>
                    <a:ln w="9525">
                      <a:noFill/>
                      <a:miter lim="800000"/>
                      <a:headEnd/>
                      <a:tailEnd/>
                    </a:ln>
                  </pic:spPr>
                </pic:pic>
              </a:graphicData>
            </a:graphic>
          </wp:inline>
        </w:drawing>
      </w:r>
    </w:p>
    <w:p w14:paraId="12D3DC68"/>
    <w:p w14:paraId="5FAEB084">
      <w:pPr>
        <w:jc w:val="center"/>
        <w:rPr>
          <w:rFonts w:hint="default" w:eastAsia="宋体"/>
          <w:lang w:val="en-US" w:eastAsia="zh-CN"/>
        </w:rPr>
      </w:pPr>
      <w:r>
        <w:rPr>
          <w:rFonts w:hint="eastAsia"/>
          <w:lang w:val="en-US" w:eastAsia="zh-CN"/>
        </w:rPr>
        <w:t>风场范围的健康信息表</w:t>
      </w:r>
    </w:p>
    <w:tbl>
      <w:tblPr>
        <w:tblStyle w:val="36"/>
        <w:tblW w:w="0" w:type="auto"/>
        <w:jc w:val="center"/>
        <w:tblLayout w:type="fixed"/>
        <w:tblCellMar>
          <w:top w:w="0" w:type="dxa"/>
          <w:left w:w="108" w:type="dxa"/>
          <w:bottom w:w="0" w:type="dxa"/>
          <w:right w:w="108" w:type="dxa"/>
        </w:tblCellMar>
      </w:tblPr>
      <w:tblGrid>
        <w:gridCol w:w="4156"/>
        <w:gridCol w:w="4156"/>
      </w:tblGrid>
      <w:tr w14:paraId="11BB25A0">
        <w:trPr>
          <w:tblHeader/>
          <w:jc w:val="center"/>
        </w:trPr>
        <w:tc>
          <w:tcPr>
            <w:tcW w:w="3969"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77960C37">
            <w:pPr>
              <w:spacing w:before="0" w:after="0" w:line="240" w:lineRule="auto"/>
              <w:jc w:val="center"/>
            </w:pPr>
            <w:r>
              <w:rPr>
                <w:rFonts w:ascii="Times New Roman" w:hAnsi="Times New Roman" w:eastAsia="宋体"/>
                <w:b/>
                <w:color w:val="000000"/>
                <w:sz w:val="19"/>
              </w:rPr>
              <w:t>评价项目</w:t>
            </w:r>
          </w:p>
        </w:tc>
        <w:tc>
          <w:tcPr>
            <w:tcW w:w="3969"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3E847B65">
            <w:pPr>
              <w:spacing w:before="0" w:after="0" w:line="240" w:lineRule="auto"/>
              <w:jc w:val="center"/>
            </w:pPr>
            <w:r>
              <w:rPr>
                <w:rFonts w:ascii="Times New Roman" w:hAnsi="Times New Roman" w:eastAsia="宋体"/>
                <w:b/>
                <w:color w:val="000000"/>
                <w:sz w:val="19"/>
              </w:rPr>
              <w:t>评估结果</w:t>
            </w:r>
          </w:p>
        </w:tc>
      </w:tr>
      <w:tr w14:paraId="1EE0061E">
        <w:trPr>
          <w:jc w:val="center"/>
        </w:trPr>
        <w:tc>
          <w:tcPr>
            <w:tcW w:w="3969"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22EEB4AB">
            <w:pPr>
              <w:spacing w:before="0" w:after="0" w:line="240" w:lineRule="auto"/>
              <w:jc w:val="left"/>
            </w:pPr>
            <w:r>
              <w:rPr>
                <w:rFonts w:ascii="Times New Roman" w:hAnsi="Times New Roman" w:eastAsia="宋体"/>
                <w:b w:val="0"/>
                <w:color w:val="000000"/>
                <w:sz w:val="19"/>
              </w:rPr>
              <w:t>风场综合健康评分</w:t>
            </w:r>
          </w:p>
        </w:tc>
        <w:tc>
          <w:tcPr>
            <w:tcW w:w="3969"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1E16AF16">
            <w:pPr>
              <w:spacing w:before="0" w:after="0" w:line="240" w:lineRule="auto"/>
              <w:jc w:val="left"/>
            </w:pPr>
            <w:r>
              <w:rPr>
                <w:rFonts w:ascii="Times New Roman" w:hAnsi="Times New Roman" w:eastAsia="宋体"/>
                <w:b w:val="0"/>
                <w:color w:val="000000"/>
                <w:sz w:val="19"/>
              </w:rPr>
              <w:t xml:space="preserve">80</w:t>
            </w:r>
          </w:p>
        </w:tc>
      </w:tr>
      <w:tr w14:paraId="0287F610">
        <w:trPr>
          <w:jc w:val="center"/>
        </w:trPr>
        <w:tc>
          <w:tcPr>
            <w:tcW w:w="3969"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4D2302F7">
            <w:pPr>
              <w:spacing w:before="0" w:after="0" w:line="240" w:lineRule="auto"/>
              <w:jc w:val="left"/>
            </w:pPr>
            <w:r>
              <w:rPr>
                <w:rFonts w:ascii="Times New Roman" w:hAnsi="Times New Roman" w:eastAsia="宋体"/>
                <w:b w:val="0"/>
                <w:color w:val="000000"/>
                <w:sz w:val="19"/>
              </w:rPr>
              <w:t>系统健康评分</w:t>
            </w:r>
          </w:p>
        </w:tc>
        <w:tc>
          <w:tcPr>
            <w:tcW w:w="3969"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55BCCB6E">
            <w:pPr>
              <w:spacing w:before="0" w:after="0" w:line="240" w:lineRule="auto"/>
              <w:jc w:val="left"/>
            </w:pPr>
            <w:r>
              <w:rPr>
                <w:rFonts w:ascii="Times New Roman" w:hAnsi="Times New Roman" w:eastAsia="宋体"/>
                <w:b w:val="0"/>
                <w:color w:val="000000"/>
                <w:sz w:val="19"/>
              </w:rPr>
              <w:t xml:space="preserve">75</w:t>
            </w:r>
          </w:p>
        </w:tc>
      </w:tr>
      <w:tr w14:paraId="31B5B5D2">
        <w:trPr>
          <w:jc w:val="center"/>
        </w:trPr>
        <w:tc>
          <w:tcPr>
            <w:tcW w:w="3969"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11BA2A42">
            <w:pPr>
              <w:spacing w:before="0" w:after="0" w:line="240" w:lineRule="auto"/>
              <w:jc w:val="left"/>
            </w:pPr>
            <w:r>
              <w:rPr>
                <w:rFonts w:ascii="Times New Roman" w:hAnsi="Times New Roman" w:eastAsia="宋体"/>
                <w:b w:val="0"/>
                <w:color w:val="000000"/>
                <w:sz w:val="19"/>
              </w:rPr>
              <w:t>部件健康评分</w:t>
            </w:r>
          </w:p>
        </w:tc>
        <w:tc>
          <w:tcPr>
            <w:tcW w:w="3969"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4825A429">
            <w:pPr>
              <w:spacing w:before="0" w:after="0" w:line="240" w:lineRule="auto"/>
              <w:jc w:val="left"/>
            </w:pPr>
            <w:r>
              <w:rPr>
                <w:rFonts w:ascii="Times New Roman" w:hAnsi="Times New Roman" w:eastAsia="宋体"/>
                <w:b w:val="0"/>
                <w:color w:val="000000"/>
                <w:sz w:val="19"/>
              </w:rPr>
              <w:t xml:space="preserve">70</w:t>
            </w:r>
          </w:p>
        </w:tc>
      </w:tr>
      <w:tr w14:paraId="703F75C0">
        <w:trPr>
          <w:jc w:val="center"/>
        </w:trPr>
        <w:tc>
          <w:tcPr>
            <w:tcW w:w="3969"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0F6D79E4">
            <w:pPr>
              <w:spacing w:before="0" w:after="0" w:line="240" w:lineRule="auto"/>
              <w:jc w:val="left"/>
            </w:pPr>
            <w:r>
              <w:rPr>
                <w:rFonts w:ascii="Times New Roman" w:hAnsi="Times New Roman" w:eastAsia="宋体"/>
                <w:b w:val="0"/>
                <w:color w:val="000000"/>
                <w:sz w:val="19"/>
              </w:rPr>
              <w:t>结构健康评分</w:t>
            </w:r>
          </w:p>
        </w:tc>
        <w:tc>
          <w:tcPr>
            <w:tcW w:w="3969"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7DBDF9E5">
            <w:pPr>
              <w:spacing w:before="0" w:after="0" w:line="240" w:lineRule="auto"/>
              <w:jc w:val="left"/>
            </w:pPr>
            <w:r>
              <w:rPr>
                <w:rFonts w:ascii="Times New Roman" w:hAnsi="Times New Roman" w:eastAsia="宋体"/>
                <w:b w:val="0"/>
                <w:color w:val="000000"/>
                <w:sz w:val="19"/>
              </w:rPr>
              <w:t xml:space="preserve">72</w:t>
            </w:r>
          </w:p>
        </w:tc>
      </w:tr>
      <w:tr w14:paraId="0A7986F9">
        <w:trPr>
          <w:jc w:val="center"/>
        </w:trPr>
        <w:tc>
          <w:tcPr>
            <w:tcW w:w="3969"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5422A0B7">
            <w:pPr>
              <w:spacing w:before="0" w:after="0" w:line="240" w:lineRule="auto"/>
              <w:jc w:val="left"/>
            </w:pPr>
            <w:r>
              <w:rPr>
                <w:rFonts w:ascii="Times New Roman" w:hAnsi="Times New Roman" w:eastAsia="宋体"/>
                <w:b w:val="0"/>
                <w:color w:val="000000"/>
                <w:sz w:val="19"/>
              </w:rPr>
              <w:t>优级风机数量</w:t>
            </w:r>
          </w:p>
        </w:tc>
        <w:tc>
          <w:tcPr>
            <w:tcW w:w="3969"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4230F69C">
            <w:pPr>
              <w:spacing w:before="0" w:after="0" w:line="240" w:lineRule="auto"/>
              <w:jc w:val="left"/>
            </w:pPr>
            <w:r>
              <w:rPr>
                <w:rFonts w:ascii="Times New Roman" w:hAnsi="Times New Roman" w:eastAsia="宋体"/>
                <w:b w:val="0"/>
                <w:color w:val="000000"/>
                <w:sz w:val="19"/>
              </w:rPr>
              <w:t xml:space="preserve">2台</w:t>
            </w:r>
          </w:p>
        </w:tc>
      </w:tr>
      <w:tr w14:paraId="3E3BB4FB">
        <w:trPr>
          <w:jc w:val="center"/>
        </w:trPr>
        <w:tc>
          <w:tcPr>
            <w:tcW w:w="3969"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3E1A751E">
            <w:pPr>
              <w:spacing w:before="0" w:after="0" w:line="240" w:lineRule="auto"/>
              <w:jc w:val="left"/>
            </w:pPr>
            <w:r>
              <w:rPr>
                <w:rFonts w:ascii="Times New Roman" w:hAnsi="Times New Roman" w:eastAsia="宋体"/>
                <w:b w:val="0"/>
                <w:color w:val="000000"/>
                <w:sz w:val="19"/>
              </w:rPr>
              <w:t>良级风机数量</w:t>
            </w:r>
          </w:p>
        </w:tc>
        <w:tc>
          <w:tcPr>
            <w:tcW w:w="3969"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2ADE2CBC">
            <w:pPr>
              <w:spacing w:before="0" w:after="0" w:line="240" w:lineRule="auto"/>
              <w:jc w:val="left"/>
            </w:pPr>
            <w:r>
              <w:rPr>
                <w:rFonts w:ascii="Times New Roman" w:hAnsi="Times New Roman" w:eastAsia="宋体"/>
                <w:b w:val="0"/>
                <w:color w:val="000000"/>
                <w:sz w:val="19"/>
              </w:rPr>
              <w:t xml:space="preserve">1台</w:t>
            </w:r>
          </w:p>
        </w:tc>
      </w:tr>
      <w:tr w14:paraId="79C992AB">
        <w:trPr>
          <w:jc w:val="center"/>
        </w:trPr>
        <w:tc>
          <w:tcPr>
            <w:tcW w:w="3969"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31DDE36B">
            <w:pPr>
              <w:spacing w:before="0" w:after="0" w:line="240" w:lineRule="auto"/>
              <w:jc w:val="left"/>
            </w:pPr>
            <w:r>
              <w:rPr>
                <w:rFonts w:ascii="Times New Roman" w:hAnsi="Times New Roman" w:eastAsia="宋体"/>
                <w:b w:val="0"/>
                <w:color w:val="000000"/>
                <w:sz w:val="19"/>
              </w:rPr>
              <w:t>中级风机数量</w:t>
            </w:r>
          </w:p>
        </w:tc>
        <w:tc>
          <w:tcPr>
            <w:tcW w:w="3969"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6DB72907">
            <w:pPr>
              <w:spacing w:before="0" w:after="0" w:line="240" w:lineRule="auto"/>
              <w:jc w:val="left"/>
            </w:pPr>
            <w:r>
              <w:rPr>
                <w:rFonts w:ascii="Times New Roman" w:hAnsi="Times New Roman" w:eastAsia="宋体"/>
                <w:b w:val="0"/>
                <w:color w:val="000000"/>
                <w:sz w:val="19"/>
              </w:rPr>
              <w:t xml:space="preserve">1台</w:t>
            </w:r>
          </w:p>
        </w:tc>
      </w:tr>
      <w:tr w14:paraId="6DF24A61">
        <w:trPr>
          <w:jc w:val="center"/>
        </w:trPr>
        <w:tc>
          <w:tcPr>
            <w:tcW w:w="3969"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147D40E3">
            <w:pPr>
              <w:spacing w:before="0" w:after="0" w:line="240" w:lineRule="auto"/>
              <w:jc w:val="left"/>
            </w:pPr>
            <w:r>
              <w:rPr>
                <w:rFonts w:ascii="Times New Roman" w:hAnsi="Times New Roman" w:eastAsia="宋体"/>
                <w:b w:val="0"/>
                <w:color w:val="000000"/>
                <w:sz w:val="19"/>
              </w:rPr>
              <w:t>差级风机数量</w:t>
            </w:r>
          </w:p>
        </w:tc>
        <w:tc>
          <w:tcPr>
            <w:tcW w:w="3969"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66554831">
            <w:pPr>
              <w:spacing w:before="0" w:after="0" w:line="240" w:lineRule="auto"/>
              <w:jc w:val="left"/>
            </w:pPr>
            <w:r>
              <w:rPr>
                <w:rFonts w:ascii="Times New Roman" w:hAnsi="Times New Roman" w:eastAsia="宋体"/>
                <w:b w:val="0"/>
                <w:color w:val="000000"/>
                <w:sz w:val="19"/>
              </w:rPr>
              <w:t xml:space="preserve">0台</w:t>
            </w:r>
          </w:p>
        </w:tc>
      </w:tr>
    </w:tbl>
    <w:p w14:paraId="40B15F35">
      <w:pPr>
        <w:keepNext/>
        <w:keepLines/>
        <w:pageBreakBefore w:val="0"/>
        <w:widowControl/>
        <w:kinsoku/>
        <w:wordWrap/>
        <w:overflowPunct/>
        <w:topLinePunct w:val="0"/>
        <w:autoSpaceDE/>
        <w:autoSpaceDN/>
        <w:bidi w:val="0"/>
        <w:adjustRightInd/>
        <w:snapToGrid/>
        <w:jc w:val="center"/>
        <w:textAlignment w:val="auto"/>
        <w:outlineLvl w:val="9"/>
        <w:rPr>
          <w:rFonts w:hint="default" w:ascii="Times New Roman" w:hAnsi="Times New Roman" w:eastAsia="宋体" w:cstheme="minorBidi"/>
          <w:b w:val="0"/>
          <w:bCs w:val="0"/>
          <w:color w:val="000000"/>
          <w:sz w:val="21"/>
          <w:szCs w:val="22"/>
          <w:lang w:val="en-US" w:eastAsia="zh-CN" w:bidi="ar-SA"/>
        </w:rPr>
      </w:pPr>
      <w:r>
        <w:rPr>
          <w:rFonts w:hint="eastAsia" w:ascii="Times New Roman" w:hAnsi="Times New Roman" w:eastAsia="宋体" w:cstheme="minorBidi"/>
          <w:b w:val="0"/>
          <w:bCs w:val="0"/>
          <w:color w:val="000000"/>
          <w:sz w:val="21"/>
          <w:szCs w:val="22"/>
          <w:lang w:val="en-US" w:eastAsia="zh-CN" w:bidi="ar-SA"/>
        </w:rPr>
        <w:t>健康等级分布分数说明</w:t>
      </w:r>
    </w:p>
    <w:tbl>
      <w:tblPr>
        <w:tblStyle w:val="36"/>
        <w:tblW w:w="0" w:type="auto"/>
        <w:jc w:val="center"/>
        <w:tblLayout w:type="fixed"/>
        <w:tblCellMar>
          <w:top w:w="0" w:type="dxa"/>
          <w:left w:w="108" w:type="dxa"/>
          <w:bottom w:w="0" w:type="dxa"/>
          <w:right w:w="108" w:type="dxa"/>
        </w:tblCellMar>
      </w:tblPr>
      <w:tblGrid>
        <w:gridCol w:w="2771"/>
        <w:gridCol w:w="2771"/>
      </w:tblGrid>
      <w:tr w14:paraId="72926EB5">
        <w:trPr>
          <w:tblHeader/>
          <w:jc w:val="center"/>
        </w:trPr>
        <w:tc>
          <w:tcPr>
            <w:tcW w:w="2771"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2164B01E">
            <w:pPr>
              <w:spacing w:before="0" w:after="0" w:line="240" w:lineRule="auto"/>
              <w:jc w:val="center"/>
            </w:pPr>
            <w:r>
              <w:rPr>
                <w:rFonts w:ascii="Times New Roman" w:hAnsi="Times New Roman" w:eastAsia="宋体"/>
                <w:b/>
                <w:color w:val="000000"/>
                <w:sz w:val="19"/>
              </w:rPr>
              <w:t>健康等级</w:t>
            </w:r>
          </w:p>
        </w:tc>
        <w:tc>
          <w:tcPr>
            <w:tcW w:w="2771"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4FEA8A39">
            <w:pPr>
              <w:spacing w:before="0" w:after="0" w:line="240" w:lineRule="auto"/>
              <w:jc w:val="center"/>
            </w:pPr>
            <w:r>
              <w:rPr>
                <w:rFonts w:ascii="Times New Roman" w:hAnsi="Times New Roman" w:eastAsia="宋体"/>
                <w:b/>
                <w:color w:val="000000"/>
                <w:sz w:val="19"/>
              </w:rPr>
              <w:t>综合评分范围</w:t>
            </w:r>
          </w:p>
        </w:tc>
      </w:tr>
      <w:tr w14:paraId="7D608013">
        <w:trPr>
          <w:jc w:val="center"/>
        </w:trPr>
        <w:tc>
          <w:tcPr>
            <w:tcW w:w="2771"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7CD09997">
            <w:pPr>
              <w:spacing w:before="0" w:after="0" w:line="240" w:lineRule="auto"/>
              <w:jc w:val="center"/>
            </w:pPr>
            <w:r>
              <w:rPr>
                <w:rFonts w:ascii="Times New Roman" w:hAnsi="Times New Roman" w:eastAsia="宋体"/>
                <w:b w:val="0"/>
                <w:color w:val="000000"/>
                <w:sz w:val="19"/>
              </w:rPr>
              <w:t>优</w:t>
            </w:r>
          </w:p>
        </w:tc>
        <w:tc>
          <w:tcPr>
            <w:tcW w:w="2771"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67EFC2A5">
            <w:pPr>
              <w:spacing w:before="0" w:after="0" w:line="240" w:lineRule="auto"/>
              <w:jc w:val="center"/>
            </w:pPr>
            <w:r>
              <w:rPr>
                <w:rFonts w:ascii="Times New Roman" w:hAnsi="Times New Roman" w:eastAsia="宋体"/>
                <w:b w:val="0"/>
                <w:color w:val="000000"/>
                <w:sz w:val="19"/>
              </w:rPr>
              <w:t>≥90</w:t>
            </w:r>
          </w:p>
        </w:tc>
      </w:tr>
      <w:tr w14:paraId="07BBBF51">
        <w:trPr>
          <w:jc w:val="center"/>
        </w:trPr>
        <w:tc>
          <w:tcPr>
            <w:tcW w:w="2771"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0C8FE2CE">
            <w:pPr>
              <w:spacing w:before="0" w:after="0" w:line="240" w:lineRule="auto"/>
              <w:jc w:val="center"/>
            </w:pPr>
            <w:r>
              <w:rPr>
                <w:rFonts w:ascii="Times New Roman" w:hAnsi="Times New Roman" w:eastAsia="宋体"/>
                <w:b w:val="0"/>
                <w:color w:val="000000"/>
                <w:sz w:val="19"/>
              </w:rPr>
              <w:t>良</w:t>
            </w:r>
          </w:p>
        </w:tc>
        <w:tc>
          <w:tcPr>
            <w:tcW w:w="2771"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691489AE">
            <w:pPr>
              <w:spacing w:before="0" w:after="0" w:line="240" w:lineRule="auto"/>
              <w:jc w:val="center"/>
            </w:pPr>
            <w:r>
              <w:rPr>
                <w:rFonts w:ascii="Times New Roman" w:hAnsi="Times New Roman" w:eastAsia="宋体"/>
                <w:b w:val="0"/>
                <w:color w:val="000000"/>
                <w:sz w:val="19"/>
              </w:rPr>
              <w:t>7</w:t>
            </w:r>
            <w:r>
              <w:rPr>
                <w:rFonts w:hint="eastAsia"/>
                <w:b w:val="0"/>
                <w:color w:val="000000"/>
                <w:sz w:val="19"/>
                <w:lang w:val="en-US" w:eastAsia="zh-CN"/>
              </w:rPr>
              <w:t>0</w:t>
            </w:r>
            <w:r>
              <w:rPr>
                <w:rFonts w:ascii="Times New Roman" w:hAnsi="Times New Roman" w:eastAsia="宋体"/>
                <w:b w:val="0"/>
                <w:color w:val="000000"/>
                <w:sz w:val="19"/>
              </w:rPr>
              <w:t>～90</w:t>
            </w:r>
          </w:p>
        </w:tc>
      </w:tr>
      <w:tr w14:paraId="4B24E4EA">
        <w:trPr>
          <w:jc w:val="center"/>
        </w:trPr>
        <w:tc>
          <w:tcPr>
            <w:tcW w:w="2771"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3F19E44F">
            <w:pPr>
              <w:spacing w:before="0" w:after="0" w:line="240" w:lineRule="auto"/>
              <w:jc w:val="center"/>
            </w:pPr>
            <w:r>
              <w:rPr>
                <w:rFonts w:ascii="Times New Roman" w:hAnsi="Times New Roman" w:eastAsia="宋体"/>
                <w:b w:val="0"/>
                <w:color w:val="000000"/>
                <w:sz w:val="19"/>
              </w:rPr>
              <w:t>中</w:t>
            </w:r>
          </w:p>
        </w:tc>
        <w:tc>
          <w:tcPr>
            <w:tcW w:w="2771"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6B86D1E2">
            <w:pPr>
              <w:spacing w:before="0" w:after="0" w:line="240" w:lineRule="auto"/>
              <w:jc w:val="center"/>
              <w:rPr>
                <w:rFonts w:hint="eastAsia" w:eastAsia="宋体"/>
                <w:lang w:eastAsia="zh-CN"/>
              </w:rPr>
            </w:pPr>
            <w:r>
              <w:rPr>
                <w:rFonts w:hint="eastAsia"/>
                <w:b w:val="0"/>
                <w:color w:val="000000"/>
                <w:sz w:val="19"/>
                <w:lang w:val="en-US" w:eastAsia="zh-CN"/>
              </w:rPr>
              <w:t>50</w:t>
            </w:r>
            <w:r>
              <w:rPr>
                <w:rFonts w:ascii="Times New Roman" w:hAnsi="Times New Roman" w:eastAsia="宋体"/>
                <w:b w:val="0"/>
                <w:color w:val="000000"/>
                <w:sz w:val="19"/>
              </w:rPr>
              <w:t>～7</w:t>
            </w:r>
            <w:r>
              <w:rPr>
                <w:rFonts w:hint="eastAsia"/>
                <w:b w:val="0"/>
                <w:color w:val="000000"/>
                <w:sz w:val="19"/>
                <w:lang w:val="en-US" w:eastAsia="zh-CN"/>
              </w:rPr>
              <w:t>0</w:t>
            </w:r>
          </w:p>
        </w:tc>
      </w:tr>
      <w:tr w14:paraId="201596DA">
        <w:trPr>
          <w:jc w:val="center"/>
        </w:trPr>
        <w:tc>
          <w:tcPr>
            <w:tcW w:w="2771"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6F286F2A">
            <w:pPr>
              <w:spacing w:before="0" w:after="0" w:line="240" w:lineRule="auto"/>
              <w:jc w:val="center"/>
            </w:pPr>
            <w:r>
              <w:rPr>
                <w:rFonts w:ascii="Times New Roman" w:hAnsi="Times New Roman" w:eastAsia="宋体"/>
                <w:b w:val="0"/>
                <w:color w:val="000000"/>
                <w:sz w:val="19"/>
              </w:rPr>
              <w:t>差</w:t>
            </w:r>
          </w:p>
        </w:tc>
        <w:tc>
          <w:tcPr>
            <w:tcW w:w="2771"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63162B28">
            <w:pPr>
              <w:spacing w:before="0" w:after="0" w:line="240" w:lineRule="auto"/>
              <w:jc w:val="center"/>
              <w:rPr>
                <w:rFonts w:hint="default" w:eastAsia="宋体"/>
                <w:lang w:val="en-US" w:eastAsia="zh-CN"/>
              </w:rPr>
            </w:pPr>
            <w:r>
              <w:rPr>
                <w:rFonts w:ascii="Times New Roman" w:hAnsi="Times New Roman" w:eastAsia="宋体"/>
                <w:b w:val="0"/>
                <w:color w:val="000000"/>
                <w:sz w:val="19"/>
              </w:rPr>
              <w:t>＜</w:t>
            </w:r>
            <w:r>
              <w:rPr>
                <w:rFonts w:hint="eastAsia"/>
                <w:b w:val="0"/>
                <w:color w:val="000000"/>
                <w:sz w:val="19"/>
                <w:lang w:val="en-US" w:eastAsia="zh-CN"/>
              </w:rPr>
              <w:t>50</w:t>
            </w:r>
          </w:p>
        </w:tc>
      </w:tr>
    </w:tbl>
    <w:p w14:paraId="6FA5020F">
      <w:pPr>
        <w:spacing w:before="80" w:after="40"/>
        <w:jc w:val="center"/>
      </w:pPr>
    </w:p>
    <w:p w14:paraId="4427EBD5">
      <w:pPr>
        <w:keepLines w:val="0"/>
        <w:ind w:firstLine="420"/>
      </w:pPr>
      <w:r>
        <w:rPr>
          <w:rFonts w:ascii="Times New Roman" w:hAnsi="Times New Roman" w:eastAsia="宋体"/>
          <w:color w:val="000000"/>
          <w:sz w:val="21"/>
        </w:rPr>
        <w:t>注：健康等级为系统对滚动时间窗口内相对运行状态的分级结果，不直接对应设备故障严重等级。</w:t>
      </w:r>
    </w:p>
    <w:p w14:paraId="21736C41">
      <w:pPr>
        <w:spacing w:before="80" w:after="40"/>
        <w:jc w:val="center"/>
      </w:pPr>
    </w:p>
    <w:p>
      <w:pPr>
        <w:jc w:val="center"/>
      </w:pPr>
      <w:r>
        <w:rPr/>
        <w:drawing>
          <wp:inline distT="0" distB="0" distL="0" distR="0">
            <wp:extent cx="4953000" cy="2343150"/>
            <wp:docPr id="0" name="Picture" descr=""/>
            <a:graphic xmlns:a="http://schemas.openxmlformats.org/drawingml/2006/main">
              <a:graphicData uri="http://schemas.openxmlformats.org/drawingml/2006/picture">
                <pic:pic xmlns:pic="http://schemas.openxmlformats.org/drawingml/2006/picture">
                  <pic:nvPicPr>
                    <pic:cNvPr id="0" name="Picture" descr=""/>
                    <pic:cNvPicPr>
                      <a:picLocks noChangeAspect="1" noChangeArrowheads="1"/>
                    </pic:cNvPicPr>
                  </pic:nvPicPr>
                  <pic:blipFill>
                    <a:blip r:embed="rId31"/>
                    <a:stretch>
                      <a:fillRect/>
                    </a:stretch>
                  </pic:blipFill>
                  <pic:spPr bwMode="auto">
                    <a:xfrm>
                      <a:off x="0" y="0"/>
                      <a:ext cx="4953000" cy="2343150"/>
                    </a:xfrm>
                    <a:prstGeom prst="rect">
                      <a:avLst/>
                    </a:prstGeom>
                    <a:noFill/>
                    <a:ln w="9525">
                      <a:noFill/>
                      <a:miter lim="800000"/>
                      <a:headEnd/>
                      <a:tailEnd/>
                    </a:ln>
                  </pic:spPr>
                </pic:pic>
              </a:graphicData>
            </a:graphic>
          </wp:inline>
        </w:drawing>
      </w:r>
    </w:p>
    <w:p w14:paraId="7D7534CB">
      <w:pPr>
        <w:keepLines w:val="0"/>
        <w:rPr>
          <w:rFonts w:ascii="Times New Roman" w:hAnsi="Times New Roman" w:eastAsia="宋体"/>
          <w:color w:val="000000"/>
          <w:sz w:val="21"/>
        </w:rPr>
      </w:pPr>
    </w:p>
    <w:p w14:paraId="73D17BEE">
      <w:pPr>
        <w:keepLines w:val="0"/>
        <w:ind w:firstLine="420"/>
        <w:rPr>
          <w:rFonts w:hint="eastAsia" w:ascii="宋体" w:hAnsi="宋体" w:eastAsia="宋体" w:cs="宋体"/>
          <w:sz w:val="24"/>
          <w:szCs w:val="28"/>
        </w:rPr>
      </w:pPr>
      <w:r>
        <w:rPr>
          <w:rFonts w:hint="eastAsia" w:ascii="宋体" w:hAnsi="宋体" w:eastAsia="宋体" w:cs="宋体"/>
          <w:color w:val="000000"/>
          <w:sz w:val="24"/>
          <w:szCs w:val="28"/>
        </w:rPr>
        <w:t xml:space="preserve">截至2026-08-12，十三师风电场综合健康评分为80分，整体健康状态处于良水平。风场系统健康评分为75分，部件健康评分为70分，结构健康评分为72。</w:t>
      </w:r>
    </w:p>
    <w:p w14:paraId="39A8E16D">
      <w:pPr>
        <w:keepLines w:val="0"/>
        <w:ind w:firstLine="420"/>
        <w:rPr>
          <w:rFonts w:hint="eastAsia" w:ascii="宋体" w:hAnsi="宋体" w:eastAsia="宋体" w:cs="宋体"/>
          <w:sz w:val="24"/>
          <w:szCs w:val="28"/>
        </w:rPr>
        <w:sectPr>
          <w:headerReference r:id="rId17" w:type="default"/>
          <w:footerReference r:id="rId18" w:type="default"/>
          <w:pgSz w:w="11906" w:h="16838"/>
          <w:pgMar w:top="1440" w:right="1797" w:bottom="1440" w:left="1797" w:header="680" w:footer="680" w:gutter="0"/>
          <w:cols w:space="720" w:num="1"/>
          <w:titlePg/>
          <w:docGrid w:linePitch="360" w:charSpace="0"/>
        </w:sectPr>
      </w:pPr>
      <w:r>
        <w:rPr>
          <w:rFonts w:hint="eastAsia" w:ascii="宋体" w:hAnsi="宋体" w:eastAsia="宋体" w:cs="宋体"/>
          <w:color w:val="000000"/>
          <w:sz w:val="24"/>
          <w:szCs w:val="28"/>
        </w:rPr>
        <w:t xml:space="preserve">本次共形成1台风机的有效综合健康评估结果，其中优级2台、良级1台、中级1台、差级0台，风场内机组健康状态主要集中在良等级。</w:t>
      </w:r>
    </w:p>
    <w:p w14:paraId="74822973">
      <w:pPr>
        <w:pStyle w:val="4"/>
        <w:keepNext/>
        <w:keepLines/>
        <w:pageBreakBefore w:val="0"/>
        <w:widowControl/>
        <w:numPr>
          <w:ilvl w:val="0"/>
          <w:numId w:val="0"/>
        </w:numPr>
        <w:kinsoku/>
        <w:wordWrap w:val="0"/>
        <w:overflowPunct/>
        <w:topLinePunct w:val="0"/>
        <w:autoSpaceDE/>
        <w:autoSpaceDN/>
        <w:bidi w:val="0"/>
        <w:adjustRightInd/>
        <w:snapToGrid w:val="0"/>
        <w:spacing w:before="240" w:after="120" w:line="400" w:lineRule="exact"/>
        <w:ind w:leftChars="0"/>
        <w:jc w:val="left"/>
        <w:textAlignment w:val="auto"/>
        <w:rPr>
          <w:rFonts w:hint="eastAsia" w:ascii="Times New Roman" w:hAnsi="Times New Roman" w:eastAsia="黑体" w:cs="Times New Roman"/>
          <w:b/>
          <w:bCs w:val="0"/>
          <w:kern w:val="2"/>
          <w:sz w:val="28"/>
          <w:szCs w:val="28"/>
          <w:lang w:val="en-US" w:eastAsia="zh-CN"/>
        </w:rPr>
      </w:pPr>
      <w:bookmarkStart w:id="8" w:name="_Toc28045"/>
      <w:r>
        <w:rPr>
          <w:rFonts w:hint="eastAsia" w:ascii="Times New Roman" w:hAnsi="Times New Roman" w:eastAsia="黑体" w:cs="Times New Roman"/>
          <w:b/>
          <w:bCs w:val="0"/>
          <w:kern w:val="2"/>
          <w:sz w:val="28"/>
          <w:szCs w:val="28"/>
          <w:lang w:val="en-US" w:eastAsia="zh-CN"/>
        </w:rPr>
        <w:t>2.2</w:t>
      </w:r>
      <w:r>
        <w:rPr>
          <w:rFonts w:hint="eastAsia" w:ascii="Times New Roman" w:hAnsi="Times New Roman" w:eastAsia="黑体" w:cs="Times New Roman"/>
          <w:b w:val="0"/>
          <w:bCs/>
          <w:kern w:val="2"/>
          <w:sz w:val="28"/>
          <w:szCs w:val="28"/>
          <w:lang w:val="en-US" w:eastAsia="zh-CN"/>
        </w:rPr>
        <w:t>风机健康评估结果</w:t>
      </w:r>
      <w:bookmarkEnd w:id="8"/>
    </w:p>
    <w:p w14:paraId="7EFF5A31">
      <w:pPr>
        <w:keepLines w:val="0"/>
        <w:ind w:firstLine="720" w:firstLineChars="0"/>
        <w:rPr>
          <w:sz w:val="24"/>
          <w:szCs w:val="28"/>
        </w:rPr>
      </w:pPr>
      <w:r>
        <w:rPr>
          <w:rFonts w:ascii="Times New Roman" w:hAnsi="Times New Roman" w:eastAsia="宋体"/>
          <w:color w:val="000000"/>
          <w:sz w:val="24"/>
          <w:szCs w:val="28"/>
        </w:rPr>
        <w:t>下表展示所选评估日期下风场内各台风机的综合、分类及单项健康评分。</w:t>
      </w:r>
    </w:p>
    <w:tbl>
      <w:tblPr>
        <w:tblStyle w:val="36"/>
        <w:tblW w:w="0" w:type="auto"/>
        <w:jc w:val="center"/>
        <w:tblLayout w:type="fixed"/>
        <w:tblCellMar>
          <w:top w:w="0" w:type="dxa"/>
          <w:left w:w="108" w:type="dxa"/>
          <w:bottom w:w="0" w:type="dxa"/>
          <w:right w:w="108" w:type="dxa"/>
        </w:tblCellMar>
      </w:tblPr>
      <w:tblGrid>
        <w:gridCol w:w="860"/>
        <w:gridCol w:w="860"/>
        <w:gridCol w:w="860"/>
        <w:gridCol w:w="860"/>
        <w:gridCol w:w="860"/>
        <w:gridCol w:w="860"/>
        <w:gridCol w:w="860"/>
        <w:gridCol w:w="860"/>
        <w:gridCol w:w="860"/>
        <w:gridCol w:w="860"/>
        <w:gridCol w:w="860"/>
        <w:gridCol w:w="860"/>
        <w:gridCol w:w="860"/>
        <w:gridCol w:w="860"/>
        <w:gridCol w:w="860"/>
        <w:gridCol w:w="860"/>
        <w:gridCol w:w="860"/>
        <w:gridCol w:w="860"/>
      </w:tblGrid>
      <w:tr w14:paraId="518608EF">
        <w:trPr>
          <w:trHeight w:val="397" w:hRule="atLeast"/>
          <w:tblHeader/>
          <w:jc w:val="center"/>
        </w:trPr>
        <w:tc>
          <w:tcPr>
            <w:tcW w:w="397"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0017EB72">
            <w:pPr>
              <w:spacing w:before="0" w:after="0" w:line="240" w:lineRule="auto"/>
              <w:jc w:val="center"/>
            </w:pPr>
            <w:r>
              <w:rPr>
                <w:rFonts w:ascii="Times New Roman" w:hAnsi="Times New Roman" w:eastAsia="宋体"/>
                <w:b/>
                <w:color w:val="000000"/>
                <w:sz w:val="13"/>
              </w:rPr>
              <w:t>序号</w:t>
            </w:r>
          </w:p>
        </w:tc>
        <w:tc>
          <w:tcPr>
            <w:tcW w:w="964"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0868AC25">
            <w:pPr>
              <w:spacing w:before="0" w:after="0" w:line="240" w:lineRule="auto"/>
              <w:jc w:val="center"/>
            </w:pPr>
            <w:r>
              <w:rPr>
                <w:rFonts w:ascii="Times New Roman" w:hAnsi="Times New Roman" w:eastAsia="宋体"/>
                <w:b/>
                <w:color w:val="000000"/>
                <w:sz w:val="13"/>
              </w:rPr>
              <w:t>风机名称</w:t>
            </w:r>
          </w:p>
        </w:tc>
        <w:tc>
          <w:tcPr>
            <w:tcW w:w="1077"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2FAB03F2">
            <w:pPr>
              <w:spacing w:before="0" w:after="0" w:line="240" w:lineRule="auto"/>
              <w:jc w:val="center"/>
            </w:pPr>
            <w:r>
              <w:rPr>
                <w:rFonts w:ascii="Times New Roman" w:hAnsi="Times New Roman" w:eastAsia="宋体"/>
                <w:b/>
                <w:color w:val="000000"/>
                <w:sz w:val="13"/>
              </w:rPr>
              <w:t>机型</w:t>
            </w:r>
          </w:p>
        </w:tc>
        <w:tc>
          <w:tcPr>
            <w:tcW w:w="680"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076F2148">
            <w:pPr>
              <w:spacing w:before="0" w:after="0" w:line="240" w:lineRule="auto"/>
              <w:jc w:val="center"/>
            </w:pPr>
            <w:r>
              <w:rPr>
                <w:rFonts w:ascii="Times New Roman" w:hAnsi="Times New Roman" w:eastAsia="宋体"/>
                <w:b/>
                <w:color w:val="000000"/>
                <w:sz w:val="13"/>
              </w:rPr>
              <w:t>综合分</w:t>
            </w:r>
          </w:p>
        </w:tc>
        <w:tc>
          <w:tcPr>
            <w:tcW w:w="454"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4E112E58">
            <w:pPr>
              <w:spacing w:before="0" w:after="0" w:line="240" w:lineRule="auto"/>
              <w:jc w:val="center"/>
            </w:pPr>
            <w:r>
              <w:rPr>
                <w:rFonts w:ascii="Times New Roman" w:hAnsi="Times New Roman" w:eastAsia="宋体"/>
                <w:b/>
                <w:color w:val="000000"/>
                <w:sz w:val="13"/>
              </w:rPr>
              <w:t>等级</w:t>
            </w:r>
          </w:p>
        </w:tc>
        <w:tc>
          <w:tcPr>
            <w:tcW w:w="680"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2ACA1F43">
            <w:pPr>
              <w:spacing w:before="0" w:after="0" w:line="240" w:lineRule="auto"/>
              <w:jc w:val="center"/>
            </w:pPr>
            <w:r>
              <w:rPr>
                <w:rFonts w:ascii="Times New Roman" w:hAnsi="Times New Roman" w:eastAsia="宋体"/>
                <w:b/>
                <w:color w:val="000000"/>
                <w:sz w:val="13"/>
              </w:rPr>
              <w:t>系统分</w:t>
            </w:r>
          </w:p>
        </w:tc>
        <w:tc>
          <w:tcPr>
            <w:tcW w:w="680"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76E6ABB4">
            <w:pPr>
              <w:spacing w:before="0" w:after="0" w:line="240" w:lineRule="auto"/>
              <w:jc w:val="center"/>
            </w:pPr>
            <w:r>
              <w:rPr>
                <w:rFonts w:ascii="Times New Roman" w:hAnsi="Times New Roman" w:eastAsia="宋体"/>
                <w:b/>
                <w:color w:val="000000"/>
                <w:sz w:val="13"/>
              </w:rPr>
              <w:t>部件分</w:t>
            </w:r>
          </w:p>
        </w:tc>
        <w:tc>
          <w:tcPr>
            <w:tcW w:w="680"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068661B3">
            <w:pPr>
              <w:spacing w:before="0" w:after="0" w:line="240" w:lineRule="auto"/>
              <w:jc w:val="center"/>
            </w:pPr>
            <w:r>
              <w:rPr>
                <w:rFonts w:ascii="Times New Roman" w:hAnsi="Times New Roman" w:eastAsia="宋体"/>
                <w:b/>
                <w:color w:val="000000"/>
                <w:sz w:val="13"/>
              </w:rPr>
              <w:t>结构分</w:t>
            </w:r>
          </w:p>
        </w:tc>
        <w:tc>
          <w:tcPr>
            <w:tcW w:w="567"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7F973C80">
            <w:pPr>
              <w:spacing w:before="0" w:after="0" w:line="240" w:lineRule="auto"/>
              <w:jc w:val="center"/>
            </w:pPr>
            <w:r>
              <w:rPr>
                <w:rFonts w:ascii="Times New Roman" w:hAnsi="Times New Roman" w:eastAsia="宋体"/>
                <w:b/>
                <w:color w:val="000000"/>
                <w:sz w:val="13"/>
              </w:rPr>
              <w:t>偏航</w:t>
            </w:r>
          </w:p>
        </w:tc>
        <w:tc>
          <w:tcPr>
            <w:tcW w:w="567"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3C0988E2">
            <w:pPr>
              <w:spacing w:before="0" w:after="0" w:line="240" w:lineRule="auto"/>
              <w:jc w:val="center"/>
            </w:pPr>
            <w:r>
              <w:rPr>
                <w:rFonts w:ascii="Times New Roman" w:hAnsi="Times New Roman" w:eastAsia="宋体"/>
                <w:b/>
                <w:color w:val="000000"/>
                <w:sz w:val="13"/>
              </w:rPr>
              <w:t>变桨</w:t>
            </w:r>
          </w:p>
        </w:tc>
        <w:tc>
          <w:tcPr>
            <w:tcW w:w="567"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0BF773D7">
            <w:pPr>
              <w:spacing w:before="0" w:after="0" w:line="240" w:lineRule="auto"/>
              <w:jc w:val="center"/>
            </w:pPr>
            <w:r>
              <w:rPr>
                <w:rFonts w:ascii="Times New Roman" w:hAnsi="Times New Roman" w:eastAsia="宋体"/>
                <w:b/>
                <w:color w:val="000000"/>
                <w:sz w:val="13"/>
              </w:rPr>
              <w:t>主控</w:t>
            </w:r>
          </w:p>
        </w:tc>
        <w:tc>
          <w:tcPr>
            <w:tcW w:w="567"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2CBC34B9">
            <w:pPr>
              <w:spacing w:before="0" w:after="0" w:line="240" w:lineRule="auto"/>
              <w:jc w:val="center"/>
            </w:pPr>
            <w:r>
              <w:rPr>
                <w:rFonts w:ascii="Times New Roman" w:hAnsi="Times New Roman" w:eastAsia="宋体"/>
                <w:b/>
                <w:color w:val="000000"/>
                <w:sz w:val="13"/>
              </w:rPr>
              <w:t>液压</w:t>
            </w:r>
          </w:p>
        </w:tc>
        <w:tc>
          <w:tcPr>
            <w:tcW w:w="680"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5376E054">
            <w:pPr>
              <w:spacing w:before="0" w:after="0" w:line="240" w:lineRule="auto"/>
              <w:jc w:val="center"/>
            </w:pPr>
            <w:r>
              <w:rPr>
                <w:rFonts w:ascii="Times New Roman" w:hAnsi="Times New Roman" w:eastAsia="宋体"/>
                <w:b/>
                <w:color w:val="000000"/>
                <w:sz w:val="13"/>
              </w:rPr>
              <w:t>发电机</w:t>
            </w:r>
          </w:p>
        </w:tc>
        <w:tc>
          <w:tcPr>
            <w:tcW w:w="680"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2FDF05D0">
            <w:pPr>
              <w:spacing w:before="0" w:after="0" w:line="240" w:lineRule="auto"/>
              <w:jc w:val="center"/>
            </w:pPr>
            <w:r>
              <w:rPr>
                <w:rFonts w:ascii="Times New Roman" w:hAnsi="Times New Roman" w:eastAsia="宋体"/>
                <w:b/>
                <w:color w:val="000000"/>
                <w:sz w:val="13"/>
              </w:rPr>
              <w:t>变流器</w:t>
            </w:r>
          </w:p>
        </w:tc>
        <w:tc>
          <w:tcPr>
            <w:tcW w:w="680"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4FA00C90">
            <w:pPr>
              <w:spacing w:before="0" w:after="0" w:line="240" w:lineRule="auto"/>
              <w:jc w:val="center"/>
            </w:pPr>
            <w:r>
              <w:rPr>
                <w:rFonts w:ascii="Times New Roman" w:hAnsi="Times New Roman" w:eastAsia="宋体"/>
                <w:b/>
                <w:color w:val="000000"/>
                <w:sz w:val="13"/>
              </w:rPr>
              <w:t>齿轮箱</w:t>
            </w:r>
          </w:p>
        </w:tc>
        <w:tc>
          <w:tcPr>
            <w:tcW w:w="567"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0A20CC24">
            <w:pPr>
              <w:spacing w:before="0" w:after="0" w:line="240" w:lineRule="auto"/>
              <w:jc w:val="center"/>
            </w:pPr>
            <w:r>
              <w:rPr>
                <w:rFonts w:ascii="Times New Roman" w:hAnsi="Times New Roman" w:eastAsia="宋体"/>
                <w:b/>
                <w:color w:val="000000"/>
                <w:sz w:val="13"/>
              </w:rPr>
              <w:t>主轴</w:t>
            </w:r>
          </w:p>
        </w:tc>
        <w:tc>
          <w:tcPr>
            <w:tcW w:w="567"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5C4AE0AD">
            <w:pPr>
              <w:spacing w:before="0" w:after="0" w:line="240" w:lineRule="auto"/>
              <w:jc w:val="center"/>
            </w:pPr>
            <w:r>
              <w:rPr>
                <w:rFonts w:ascii="Times New Roman" w:hAnsi="Times New Roman" w:eastAsia="宋体"/>
                <w:b/>
                <w:color w:val="000000"/>
                <w:sz w:val="13"/>
              </w:rPr>
              <w:t>叶轮</w:t>
            </w:r>
          </w:p>
        </w:tc>
        <w:tc>
          <w:tcPr>
            <w:tcW w:w="567"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27B85757">
            <w:pPr>
              <w:spacing w:before="0" w:after="0" w:line="240" w:lineRule="auto"/>
              <w:jc w:val="center"/>
            </w:pPr>
            <w:r>
              <w:rPr>
                <w:rFonts w:ascii="Times New Roman" w:hAnsi="Times New Roman" w:eastAsia="宋体"/>
                <w:b/>
                <w:color w:val="000000"/>
                <w:sz w:val="13"/>
              </w:rPr>
              <w:t>塔筒</w:t>
            </w:r>
          </w:p>
        </w:tc>
      </w:tr>
    </w:tbl>
    <w:p w14:paraId="5BBA1A99">
      <w:pPr>
        <w:rPr>
          <w:rFonts w:hint="eastAsia" w:ascii="宋体" w:hAnsi="宋体" w:eastAsia="宋体" w:cs="宋体"/>
          <w:lang w:val="en-US" w:eastAsia="zh-CN"/>
        </w:rPr>
      </w:pPr>
      <w:bookmarkStart w:id="14" w:name="_GoBack"/>
      <w:bookmarkEnd w:id="14"/>
      <w:r>
        <w:rPr>
          <w:rFonts w:hint="eastAsia" w:ascii="宋体" w:hAnsi="宋体" w:eastAsia="宋体" w:cs="宋体"/>
          <w:lang w:val="en-US" w:eastAsia="zh-CN"/>
        </w:rPr>
        <w:t>注：单元格显示“/”表示该子系统/部件/结构不满足评估条件。</w:t>
      </w:r>
    </w:p>
    <w:p w14:paraId="7E102AB1">
      <w:pPr>
        <w:pStyle w:val="4"/>
        <w:keepNext/>
        <w:keepLines/>
        <w:pageBreakBefore w:val="0"/>
        <w:widowControl/>
        <w:numPr>
          <w:ilvl w:val="0"/>
          <w:numId w:val="0"/>
        </w:numPr>
        <w:kinsoku/>
        <w:wordWrap w:val="0"/>
        <w:overflowPunct/>
        <w:topLinePunct w:val="0"/>
        <w:autoSpaceDE/>
        <w:autoSpaceDN/>
        <w:bidi w:val="0"/>
        <w:adjustRightInd/>
        <w:snapToGrid w:val="0"/>
        <w:spacing w:before="240" w:after="120" w:line="400" w:lineRule="exact"/>
        <w:ind w:leftChars="0"/>
        <w:jc w:val="left"/>
        <w:textAlignment w:val="auto"/>
        <w:rPr>
          <w:rFonts w:hint="default" w:ascii="Times New Roman" w:hAnsi="Times New Roman" w:eastAsia="黑体" w:cs="Times New Roman"/>
          <w:b/>
          <w:bCs w:val="0"/>
          <w:kern w:val="2"/>
          <w:sz w:val="28"/>
          <w:szCs w:val="28"/>
          <w:lang w:val="en-US" w:eastAsia="zh-CN"/>
        </w:rPr>
      </w:pPr>
      <w:bookmarkStart w:id="9" w:name="_Toc32532"/>
      <w:r>
        <w:rPr>
          <w:rFonts w:hint="eastAsia" w:ascii="Times New Roman" w:hAnsi="Times New Roman" w:eastAsia="黑体" w:cs="Times New Roman"/>
          <w:b/>
          <w:bCs w:val="0"/>
          <w:kern w:val="2"/>
          <w:sz w:val="28"/>
          <w:szCs w:val="28"/>
          <w:lang w:val="en-US" w:eastAsia="zh-CN"/>
        </w:rPr>
        <w:t>2.3</w:t>
      </w:r>
      <w:r>
        <w:rPr>
          <w:rFonts w:hint="eastAsia" w:ascii="Times New Roman" w:hAnsi="Times New Roman" w:eastAsia="黑体" w:cs="Times New Roman"/>
          <w:b w:val="0"/>
          <w:bCs/>
          <w:kern w:val="2"/>
          <w:sz w:val="28"/>
          <w:szCs w:val="28"/>
          <w:lang w:val="en-US" w:eastAsia="zh-CN"/>
        </w:rPr>
        <w:t>风机健康趋势分析</w:t>
      </w:r>
      <w:bookmarkEnd w:id="9"/>
    </w:p>
    <w:p>
      <w:pPr>
        <w:jc w:val="center"/>
      </w:pPr>
      <w:r>
        <w:t xml:space="preserve">WT01 风机健康趋势图</w:t>
      </w:r>
    </w:p>
    <w:p>
      <w:pPr>
        <w:jc w:val="center"/>
      </w:pPr>
      <w:r>
        <w:t xml:space="preserve">综合健康评分趋势图</w:t>
      </w:r>
    </w:p>
    <w:p>
      <w:pPr>
        <w:jc w:val="center"/>
      </w:pPr>
      <w:r>
        <w:rPr/>
        <w:drawing>
          <wp:inline distT="0" distB="0" distL="0" distR="0">
            <wp:extent cx="5334000" cy="1828800"/>
            <wp:docPr id="0" name="Picture" descr=""/>
            <a:graphic xmlns:a="http://schemas.openxmlformats.org/drawingml/2006/main">
              <a:graphicData uri="http://schemas.openxmlformats.org/drawingml/2006/picture">
                <pic:pic xmlns:pic="http://schemas.openxmlformats.org/drawingml/2006/picture">
                  <pic:nvPicPr>
                    <pic:cNvPr id="0" name="Picture" descr=""/>
                    <pic:cNvPicPr>
                      <a:picLocks noChangeAspect="1" noChangeArrowheads="1"/>
                    </pic:cNvPicPr>
                  </pic:nvPicPr>
                  <pic:blipFill>
                    <a:blip r:embed="rId32"/>
                    <a:stretch>
                      <a:fillRect/>
                    </a:stretch>
                  </pic:blipFill>
                  <pic:spPr bwMode="auto">
                    <a:xfrm>
                      <a:off x="0" y="0"/>
                      <a:ext cx="5334000" cy="1828800"/>
                    </a:xfrm>
                    <a:prstGeom prst="rect">
                      <a:avLst/>
                    </a:prstGeom>
                    <a:noFill/>
                    <a:ln w="9525">
                      <a:noFill/>
                      <a:miter lim="800000"/>
                      <a:headEnd/>
                      <a:tailEnd/>
                    </a:ln>
                  </pic:spPr>
                </pic:pic>
              </a:graphicData>
            </a:graphic>
          </wp:inline>
        </w:drawing>
      </w:r>
    </w:p>
    <w:p>
      <w:pPr>
        <w:jc w:val="center"/>
      </w:pPr>
      <w:r>
        <w:t xml:space="preserve">结构健康趋势图</w:t>
      </w:r>
    </w:p>
    <w:p>
      <w:pPr>
        <w:jc w:val="center"/>
      </w:pPr>
      <w:r>
        <w:rPr/>
        <w:drawing>
          <wp:inline distT="0" distB="0" distL="0" distR="0">
            <wp:extent cx="5334000" cy="2105025"/>
            <wp:docPr id="0" name="Picture" descr=""/>
            <a:graphic xmlns:a="http://schemas.openxmlformats.org/drawingml/2006/main">
              <a:graphicData uri="http://schemas.openxmlformats.org/drawingml/2006/picture">
                <pic:pic xmlns:pic="http://schemas.openxmlformats.org/drawingml/2006/picture">
                  <pic:nvPicPr>
                    <pic:cNvPr id="0" name="Picture" descr=""/>
                    <pic:cNvPicPr>
                      <a:picLocks noChangeAspect="1" noChangeArrowheads="1"/>
                    </pic:cNvPicPr>
                  </pic:nvPicPr>
                  <pic:blipFill>
                    <a:blip r:embed="rId33"/>
                    <a:stretch>
                      <a:fillRect/>
                    </a:stretch>
                  </pic:blipFill>
                  <pic:spPr bwMode="auto">
                    <a:xfrm>
                      <a:off x="0" y="0"/>
                      <a:ext cx="5334000" cy="2105025"/>
                    </a:xfrm>
                    <a:prstGeom prst="rect">
                      <a:avLst/>
                    </a:prstGeom>
                    <a:noFill/>
                    <a:ln w="9525">
                      <a:noFill/>
                      <a:miter lim="800000"/>
                      <a:headEnd/>
                      <a:tailEnd/>
                    </a:ln>
                  </pic:spPr>
                </pic:pic>
              </a:graphicData>
            </a:graphic>
          </wp:inline>
        </w:drawing>
      </w:r>
    </w:p>
    <w:p>
      <w:pPr>
        <w:jc w:val="center"/>
      </w:pPr>
      <w:r>
        <w:t xml:space="preserve">系统健康趋势图</w:t>
      </w:r>
    </w:p>
    <w:p>
      <w:pPr>
        <w:jc w:val="center"/>
      </w:pPr>
      <w:r>
        <w:rPr/>
        <w:drawing>
          <wp:inline distT="0" distB="0" distL="0" distR="0">
            <wp:extent cx="5334000" cy="2105025"/>
            <wp:docPr id="0" name="Picture" descr=""/>
            <a:graphic xmlns:a="http://schemas.openxmlformats.org/drawingml/2006/main">
              <a:graphicData uri="http://schemas.openxmlformats.org/drawingml/2006/picture">
                <pic:pic xmlns:pic="http://schemas.openxmlformats.org/drawingml/2006/picture">
                  <pic:nvPicPr>
                    <pic:cNvPr id="0" name="Picture" descr=""/>
                    <pic:cNvPicPr>
                      <a:picLocks noChangeAspect="1" noChangeArrowheads="1"/>
                    </pic:cNvPicPr>
                  </pic:nvPicPr>
                  <pic:blipFill>
                    <a:blip r:embed="rId34"/>
                    <a:stretch>
                      <a:fillRect/>
                    </a:stretch>
                  </pic:blipFill>
                  <pic:spPr bwMode="auto">
                    <a:xfrm>
                      <a:off x="0" y="0"/>
                      <a:ext cx="5334000" cy="2105025"/>
                    </a:xfrm>
                    <a:prstGeom prst="rect">
                      <a:avLst/>
                    </a:prstGeom>
                    <a:noFill/>
                    <a:ln w="9525">
                      <a:noFill/>
                      <a:miter lim="800000"/>
                      <a:headEnd/>
                      <a:tailEnd/>
                    </a:ln>
                  </pic:spPr>
                </pic:pic>
              </a:graphicData>
            </a:graphic>
          </wp:inline>
        </w:drawing>
      </w:r>
    </w:p>
    <w:p>
      <w:pPr>
        <w:jc w:val="center"/>
      </w:pPr>
      <w:r>
        <w:t xml:space="preserve">部件健康趋势图</w:t>
      </w:r>
    </w:p>
    <w:p>
      <w:pPr>
        <w:jc w:val="center"/>
      </w:pPr>
      <w:r>
        <w:rPr/>
        <w:drawing>
          <wp:inline distT="0" distB="0" distL="0" distR="0">
            <wp:extent cx="5334000" cy="2105025"/>
            <wp:docPr id="0" name="Picture" descr=""/>
            <a:graphic xmlns:a="http://schemas.openxmlformats.org/drawingml/2006/main">
              <a:graphicData uri="http://schemas.openxmlformats.org/drawingml/2006/picture">
                <pic:pic xmlns:pic="http://schemas.openxmlformats.org/drawingml/2006/picture">
                  <pic:nvPicPr>
                    <pic:cNvPr id="0" name="Picture" descr=""/>
                    <pic:cNvPicPr>
                      <a:picLocks noChangeAspect="1" noChangeArrowheads="1"/>
                    </pic:cNvPicPr>
                  </pic:nvPicPr>
                  <pic:blipFill>
                    <a:blip r:embed="rId35"/>
                    <a:stretch>
                      <a:fillRect/>
                    </a:stretch>
                  </pic:blipFill>
                  <pic:spPr bwMode="auto">
                    <a:xfrm>
                      <a:off x="0" y="0"/>
                      <a:ext cx="5334000" cy="2105025"/>
                    </a:xfrm>
                    <a:prstGeom prst="rect">
                      <a:avLst/>
                    </a:prstGeom>
                    <a:noFill/>
                    <a:ln w="9525">
                      <a:noFill/>
                      <a:miter lim="800000"/>
                      <a:headEnd/>
                      <a:tailEnd/>
                    </a:ln>
                  </pic:spPr>
                </pic:pic>
              </a:graphicData>
            </a:graphic>
          </wp:inline>
        </w:drawing>
      </w:r>
    </w:p>
    <w:p w14:paraId="5BBB860A">
      <w:pPr>
        <w:rPr>
          <w:rFonts w:hint="default"/>
          <w:lang w:val="en-US" w:eastAsia="zh-CN"/>
        </w:rPr>
        <w:sectPr>
          <w:headerReference r:id="rId19" w:type="default"/>
          <w:footerReference r:id="rId20" w:type="default"/>
          <w:pgSz w:w="16838" w:h="11906" w:orient="landscape"/>
          <w:pgMar w:top="850" w:right="680" w:bottom="850" w:left="680" w:header="680" w:footer="680" w:gutter="0"/>
          <w:cols w:space="720" w:num="1"/>
          <w:titlePg/>
          <w:docGrid w:linePitch="360" w:charSpace="0"/>
        </w:sectPr>
      </w:pPr>
    </w:p>
    <w:p w14:paraId="475D30C9">
      <w:pPr>
        <w:pStyle w:val="3"/>
        <w:keepNext/>
        <w:rPr>
          <w:rFonts w:hint="eastAsia" w:ascii="Times New Roman" w:hAnsi="Times New Roman" w:eastAsia="黑体" w:cs="Times New Roman"/>
          <w:b/>
          <w:color w:val="000000"/>
          <w:sz w:val="30"/>
          <w:szCs w:val="30"/>
          <w:lang w:val="en-US" w:eastAsia="zh-CN"/>
        </w:rPr>
      </w:pPr>
      <w:bookmarkStart w:id="10" w:name="_Toc27608"/>
      <w:r>
        <w:rPr>
          <w:rFonts w:hint="eastAsia" w:ascii="Times New Roman" w:hAnsi="Times New Roman" w:eastAsia="黑体" w:cs="Times New Roman"/>
          <w:b/>
          <w:color w:val="000000"/>
          <w:sz w:val="30"/>
          <w:szCs w:val="30"/>
          <w:lang w:val="en-US" w:eastAsia="zh-CN"/>
        </w:rPr>
        <w:t>3 重点关注风机情况</w:t>
      </w:r>
      <w:bookmarkEnd w:id="10"/>
    </w:p>
    <w:p w14:paraId="6345B9DD">
      <w:pPr>
        <w:keepLines w:val="0"/>
        <w:ind w:firstLine="420"/>
        <w:rPr>
          <w:rFonts w:hint="eastAsia" w:eastAsia="宋体"/>
          <w:sz w:val="24"/>
          <w:szCs w:val="28"/>
          <w:highlight w:val="none"/>
          <w:lang w:eastAsia="zh-CN"/>
        </w:rPr>
      </w:pPr>
      <w:r>
        <w:rPr>
          <w:rFonts w:hint="eastAsia"/>
          <w:color w:val="000000"/>
          <w:sz w:val="24"/>
          <w:szCs w:val="28"/>
          <w:highlight w:val="none"/>
          <w:lang w:val="en-US" w:eastAsia="zh-CN"/>
        </w:rPr>
        <w:t>设备优化关注列表如下表所示，展示了该风场范围里综合健康评分最低的五台风机，应优先关注。</w:t>
      </w:r>
    </w:p>
    <w:tbl>
      <w:tblPr>
        <w:tblStyle w:val="36"/>
        <w:tblW w:w="0" w:type="auto"/>
        <w:jc w:val="center"/>
        <w:tblLayout w:type="fixed"/>
        <w:tblCellMar>
          <w:top w:w="0" w:type="dxa"/>
          <w:left w:w="108" w:type="dxa"/>
          <w:bottom w:w="0" w:type="dxa"/>
          <w:right w:w="108" w:type="dxa"/>
        </w:tblCellMar>
      </w:tblPr>
      <w:tblGrid>
        <w:gridCol w:w="924"/>
        <w:gridCol w:w="924"/>
        <w:gridCol w:w="924"/>
        <w:gridCol w:w="924"/>
        <w:gridCol w:w="924"/>
        <w:gridCol w:w="924"/>
        <w:gridCol w:w="924"/>
        <w:gridCol w:w="924"/>
      </w:tblGrid>
      <w:tr w14:paraId="2D0756BD">
        <w:trPr>
          <w:tblHeader/>
          <w:jc w:val="center"/>
        </w:trPr>
        <w:tc>
          <w:tcPr>
            <w:tcW w:w="924"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35A7CDF3">
            <w:pPr>
              <w:spacing w:before="0" w:after="0" w:line="240" w:lineRule="auto"/>
              <w:jc w:val="center"/>
            </w:pPr>
            <w:r>
              <w:rPr>
                <w:rFonts w:ascii="Times New Roman" w:hAnsi="Times New Roman" w:eastAsia="宋体"/>
                <w:b/>
                <w:color w:val="000000"/>
                <w:sz w:val="15"/>
              </w:rPr>
              <w:t>序号</w:t>
            </w:r>
          </w:p>
        </w:tc>
        <w:tc>
          <w:tcPr>
            <w:tcW w:w="924"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328F9905">
            <w:pPr>
              <w:spacing w:before="0" w:after="0" w:line="240" w:lineRule="auto"/>
              <w:jc w:val="center"/>
            </w:pPr>
            <w:r>
              <w:rPr>
                <w:rFonts w:ascii="Times New Roman" w:hAnsi="Times New Roman" w:eastAsia="宋体"/>
                <w:b/>
                <w:color w:val="000000"/>
                <w:sz w:val="15"/>
              </w:rPr>
              <w:t>风机名称</w:t>
            </w:r>
          </w:p>
        </w:tc>
        <w:tc>
          <w:tcPr>
            <w:tcW w:w="924"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273CF4D1">
            <w:pPr>
              <w:spacing w:before="0" w:after="0" w:line="240" w:lineRule="auto"/>
              <w:jc w:val="center"/>
            </w:pPr>
            <w:r>
              <w:rPr>
                <w:rFonts w:ascii="Times New Roman" w:hAnsi="Times New Roman" w:eastAsia="宋体"/>
                <w:b/>
                <w:color w:val="000000"/>
                <w:sz w:val="15"/>
              </w:rPr>
              <w:t>机型</w:t>
            </w:r>
          </w:p>
        </w:tc>
        <w:tc>
          <w:tcPr>
            <w:tcW w:w="924"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51970A6E">
            <w:pPr>
              <w:spacing w:before="0" w:after="0" w:line="240" w:lineRule="auto"/>
              <w:jc w:val="center"/>
            </w:pPr>
            <w:r>
              <w:rPr>
                <w:rFonts w:ascii="Times New Roman" w:hAnsi="Times New Roman" w:eastAsia="宋体"/>
                <w:b/>
                <w:color w:val="000000"/>
                <w:sz w:val="15"/>
              </w:rPr>
              <w:t>综合分</w:t>
            </w:r>
          </w:p>
        </w:tc>
        <w:tc>
          <w:tcPr>
            <w:tcW w:w="924"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4BD7FFBA">
            <w:pPr>
              <w:spacing w:before="0" w:after="0" w:line="240" w:lineRule="auto"/>
              <w:jc w:val="center"/>
            </w:pPr>
            <w:r>
              <w:rPr>
                <w:rFonts w:ascii="Times New Roman" w:hAnsi="Times New Roman" w:eastAsia="宋体"/>
                <w:b/>
                <w:color w:val="000000"/>
                <w:sz w:val="15"/>
              </w:rPr>
              <w:t>等级</w:t>
            </w:r>
          </w:p>
        </w:tc>
        <w:tc>
          <w:tcPr>
            <w:tcW w:w="924"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34A70A7C">
            <w:pPr>
              <w:spacing w:before="0" w:after="0" w:line="240" w:lineRule="auto"/>
              <w:jc w:val="center"/>
            </w:pPr>
            <w:r>
              <w:rPr>
                <w:rFonts w:ascii="Times New Roman" w:hAnsi="Times New Roman" w:eastAsia="宋体"/>
                <w:b/>
                <w:color w:val="000000"/>
                <w:sz w:val="15"/>
              </w:rPr>
              <w:t>系统分</w:t>
            </w:r>
          </w:p>
        </w:tc>
        <w:tc>
          <w:tcPr>
            <w:tcW w:w="924"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71562CC5">
            <w:pPr>
              <w:spacing w:before="0" w:after="0" w:line="240" w:lineRule="auto"/>
              <w:jc w:val="center"/>
            </w:pPr>
            <w:r>
              <w:rPr>
                <w:rFonts w:ascii="Times New Roman" w:hAnsi="Times New Roman" w:eastAsia="宋体"/>
                <w:b/>
                <w:color w:val="000000"/>
                <w:sz w:val="15"/>
              </w:rPr>
              <w:t>部件分</w:t>
            </w:r>
          </w:p>
        </w:tc>
        <w:tc>
          <w:tcPr>
            <w:tcW w:w="924"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64062ADE">
            <w:pPr>
              <w:spacing w:before="0" w:after="0" w:line="240" w:lineRule="auto"/>
              <w:jc w:val="center"/>
            </w:pPr>
            <w:r>
              <w:rPr>
                <w:rFonts w:ascii="Times New Roman" w:hAnsi="Times New Roman" w:eastAsia="宋体"/>
                <w:b/>
                <w:color w:val="000000"/>
                <w:sz w:val="15"/>
              </w:rPr>
              <w:t>结构分</w:t>
            </w:r>
          </w:p>
        </w:tc>
      </w:tr>
    </w:tbl>
    <w:p w14:paraId="40A503D6">
      <w:pPr>
        <w:keepLines w:val="0"/>
        <w:ind w:firstLine="420"/>
        <w:rPr>
          <w:rFonts w:hint="eastAsia"/>
          <w:color w:val="000000"/>
          <w:sz w:val="21"/>
          <w:highlight w:val="none"/>
          <w:lang w:val="en-US" w:eastAsia="zh-CN"/>
        </w:rPr>
      </w:pPr>
    </w:p>
    <w:p w14:paraId="2AF7293A">
      <w:pPr>
        <w:pStyle w:val="3"/>
        <w:keepNext/>
        <w:rPr>
          <w:rFonts w:hint="eastAsia" w:ascii="黑体" w:hAnsi="黑体" w:eastAsia="黑体" w:cs="黑体"/>
          <w:b/>
          <w:color w:val="000000"/>
          <w:sz w:val="30"/>
          <w:szCs w:val="30"/>
          <w:lang w:val="en-US" w:eastAsia="zh-CN"/>
        </w:rPr>
      </w:pPr>
      <w:bookmarkStart w:id="11" w:name="_Toc9909"/>
      <w:r>
        <w:rPr>
          <w:rFonts w:hint="eastAsia" w:ascii="黑体" w:hAnsi="黑体" w:eastAsia="黑体" w:cs="黑体"/>
          <w:b/>
          <w:color w:val="000000"/>
          <w:sz w:val="30"/>
          <w:szCs w:val="30"/>
          <w:lang w:val="en-US" w:eastAsia="zh-CN"/>
        </w:rPr>
        <w:t>4 综合分析与建议</w:t>
      </w:r>
      <w:bookmarkEnd w:id="11"/>
    </w:p>
    <w:p w14:paraId="5D1BCA97">
      <w:pPr>
        <w:pStyle w:val="4"/>
        <w:keepNext/>
        <w:keepLines/>
        <w:pageBreakBefore w:val="0"/>
        <w:widowControl/>
        <w:numPr>
          <w:ilvl w:val="0"/>
          <w:numId w:val="0"/>
        </w:numPr>
        <w:kinsoku/>
        <w:wordWrap w:val="0"/>
        <w:overflowPunct/>
        <w:topLinePunct w:val="0"/>
        <w:autoSpaceDE/>
        <w:autoSpaceDN/>
        <w:bidi w:val="0"/>
        <w:adjustRightInd/>
        <w:snapToGrid w:val="0"/>
        <w:spacing w:before="240" w:after="120" w:line="400" w:lineRule="exact"/>
        <w:ind w:leftChars="0"/>
        <w:jc w:val="left"/>
        <w:textAlignment w:val="auto"/>
        <w:rPr>
          <w:rFonts w:hint="eastAsia" w:ascii="Times New Roman" w:hAnsi="Times New Roman" w:eastAsia="黑体" w:cs="Times New Roman"/>
          <w:b/>
          <w:bCs w:val="0"/>
          <w:kern w:val="2"/>
          <w:sz w:val="28"/>
          <w:szCs w:val="28"/>
          <w:lang w:val="en-US" w:eastAsia="zh-CN"/>
        </w:rPr>
      </w:pPr>
      <w:bookmarkStart w:id="12" w:name="_Toc786"/>
      <w:r>
        <w:rPr>
          <w:rFonts w:hint="eastAsia" w:ascii="Times New Roman" w:hAnsi="Times New Roman" w:eastAsia="黑体" w:cs="Times New Roman"/>
          <w:b/>
          <w:bCs w:val="0"/>
          <w:kern w:val="2"/>
          <w:sz w:val="28"/>
          <w:szCs w:val="28"/>
          <w:lang w:val="en-US" w:eastAsia="zh-CN"/>
        </w:rPr>
        <w:t xml:space="preserve">4.1 </w:t>
      </w:r>
      <w:r>
        <w:rPr>
          <w:rFonts w:hint="eastAsia" w:ascii="Times New Roman" w:hAnsi="Times New Roman" w:eastAsia="黑体" w:cs="Times New Roman"/>
          <w:b w:val="0"/>
          <w:bCs/>
          <w:kern w:val="2"/>
          <w:sz w:val="28"/>
          <w:szCs w:val="28"/>
          <w:lang w:val="en-US" w:eastAsia="zh-CN"/>
        </w:rPr>
        <w:t>综合分析</w:t>
      </w:r>
      <w:bookmarkEnd w:id="12"/>
    </w:p>
    <w:p w14:paraId="411AE930">
      <w:pPr>
        <w:keepLines w:val="0"/>
        <w:ind w:firstLine="420"/>
        <w:rPr>
          <w:rFonts w:hint="eastAsia" w:ascii="宋体" w:hAnsi="宋体" w:eastAsia="宋体" w:cs="宋体"/>
          <w:color w:val="000000"/>
          <w:sz w:val="24"/>
          <w:szCs w:val="28"/>
        </w:rPr>
      </w:pPr>
      <w:r>
        <w:rPr>
          <w:rFonts w:hint="eastAsia" w:ascii="宋体" w:hAnsi="宋体" w:eastAsia="宋体" w:cs="宋体"/>
          <w:color w:val="000000"/>
          <w:sz w:val="24"/>
          <w:szCs w:val="28"/>
        </w:rPr>
        <w:t xml:space="preserve">综合本次评估结果，十三师风电场综合健康评分为80分</w:t>
      </w:r>
      <w:r>
        <w:rPr>
          <w:rFonts w:hint="eastAsia" w:ascii="宋体" w:hAnsi="宋体" w:eastAsia="宋体" w:cs="宋体"/>
          <w:color w:val="000000"/>
          <w:sz w:val="24"/>
          <w:szCs w:val="28"/>
          <w:lang w:eastAsia="zh-CN"/>
        </w:rPr>
        <w:t>，</w:t>
      </w:r>
      <w:r>
        <w:rPr>
          <w:rFonts w:hint="eastAsia" w:ascii="宋体" w:hAnsi="宋体" w:eastAsia="宋体" w:cs="宋体"/>
          <w:color w:val="000000"/>
          <w:sz w:val="24"/>
          <w:szCs w:val="28"/>
        </w:rPr>
        <w:t xml:space="preserve">风场内机组健康等级以良为主。</w:t>
      </w:r>
    </w:p>
    <w:p w14:paraId="79821C53">
      <w:pPr>
        <w:keepLines w:val="0"/>
        <w:ind w:firstLine="420"/>
        <w:rPr>
          <w:rFonts w:hint="eastAsia" w:ascii="宋体" w:hAnsi="宋体" w:eastAsia="宋体" w:cs="宋体"/>
          <w:sz w:val="24"/>
          <w:szCs w:val="28"/>
        </w:rPr>
      </w:pPr>
      <w:r>
        <w:rPr>
          <w:rFonts w:hint="eastAsia" w:ascii="宋体" w:hAnsi="宋体" w:eastAsia="宋体" w:cs="宋体"/>
          <w:color w:val="000000"/>
          <w:sz w:val="24"/>
          <w:szCs w:val="28"/>
        </w:rPr>
        <w:t xml:space="preserve">从风机级结果看，综合评分相对较低的机组主要包括WT01。上述结果反映机组在滚动30天评估窗口内相对于健康基线的状态差异，需结合连续周期变化和现场业务信息综合理解。</w:t>
      </w:r>
    </w:p>
    <w:p w14:paraId="60F97DC1">
      <w:pPr>
        <w:pStyle w:val="4"/>
        <w:keepNext/>
        <w:keepLines/>
        <w:pageBreakBefore w:val="0"/>
        <w:widowControl/>
        <w:numPr>
          <w:ilvl w:val="0"/>
          <w:numId w:val="0"/>
        </w:numPr>
        <w:kinsoku/>
        <w:wordWrap w:val="0"/>
        <w:overflowPunct/>
        <w:topLinePunct w:val="0"/>
        <w:autoSpaceDE/>
        <w:autoSpaceDN/>
        <w:bidi w:val="0"/>
        <w:adjustRightInd/>
        <w:snapToGrid w:val="0"/>
        <w:spacing w:before="240" w:after="120" w:line="400" w:lineRule="exact"/>
        <w:ind w:leftChars="0"/>
        <w:jc w:val="left"/>
        <w:textAlignment w:val="auto"/>
        <w:rPr>
          <w:rFonts w:hint="eastAsia" w:ascii="Times New Roman" w:hAnsi="Times New Roman" w:eastAsia="黑体" w:cs="Times New Roman"/>
          <w:b/>
          <w:bCs w:val="0"/>
          <w:kern w:val="2"/>
          <w:sz w:val="28"/>
          <w:szCs w:val="28"/>
          <w:lang w:val="en-US" w:eastAsia="zh-CN"/>
        </w:rPr>
      </w:pPr>
      <w:bookmarkStart w:id="13" w:name="_Toc21967"/>
      <w:r>
        <w:rPr>
          <w:rFonts w:hint="eastAsia" w:ascii="Times New Roman" w:hAnsi="Times New Roman" w:eastAsia="黑体" w:cs="Times New Roman"/>
          <w:b/>
          <w:bCs w:val="0"/>
          <w:kern w:val="2"/>
          <w:sz w:val="28"/>
          <w:szCs w:val="28"/>
          <w:lang w:val="en-US" w:eastAsia="zh-CN"/>
        </w:rPr>
        <w:t xml:space="preserve">4.2 </w:t>
      </w:r>
      <w:r>
        <w:rPr>
          <w:rFonts w:hint="eastAsia" w:ascii="Times New Roman" w:hAnsi="Times New Roman" w:eastAsia="黑体" w:cs="Times New Roman"/>
          <w:b w:val="0"/>
          <w:bCs/>
          <w:kern w:val="2"/>
          <w:sz w:val="28"/>
          <w:szCs w:val="28"/>
          <w:lang w:val="en-US" w:eastAsia="zh-CN"/>
        </w:rPr>
        <w:t>运行维护建议</w:t>
      </w:r>
      <w:bookmarkEnd w:id="13"/>
    </w:p>
    <w:p w14:paraId="78B42E07">
      <w:pPr>
        <w:spacing w:after="40"/>
        <w:ind w:left="420" w:hanging="210"/>
        <w:rPr>
          <w:rFonts w:hint="eastAsia" w:ascii="宋体" w:hAnsi="宋体" w:eastAsia="宋体" w:cs="宋体"/>
          <w:sz w:val="24"/>
          <w:szCs w:val="24"/>
        </w:rPr>
      </w:pPr>
      <w:r>
        <w:rPr>
          <w:rFonts w:hint="eastAsia" w:ascii="宋体" w:hAnsi="宋体" w:eastAsia="宋体" w:cs="宋体"/>
          <w:color w:val="000000"/>
          <w:sz w:val="24"/>
          <w:szCs w:val="24"/>
        </w:rPr>
        <w:t>• 持续跟踪中、差等级机组以及综合评分相对较低机组后续周期的健康评分变化，关注低评分状态是否连续存在或进一步下降。</w:t>
      </w:r>
    </w:p>
    <w:p w14:paraId="4F226733">
      <w:pPr>
        <w:spacing w:after="40"/>
        <w:ind w:left="420" w:hanging="210"/>
        <w:rPr>
          <w:rFonts w:hint="eastAsia" w:ascii="宋体" w:hAnsi="宋体" w:eastAsia="宋体" w:cs="宋体"/>
          <w:sz w:val="24"/>
          <w:szCs w:val="24"/>
        </w:rPr>
      </w:pPr>
      <w:r>
        <w:rPr>
          <w:rFonts w:hint="eastAsia" w:ascii="宋体" w:hAnsi="宋体" w:eastAsia="宋体" w:cs="宋体"/>
          <w:color w:val="000000"/>
          <w:sz w:val="24"/>
          <w:szCs w:val="24"/>
        </w:rPr>
        <w:t>• 对系统健康评分较低的机组，重点查看偏航、变桨、主控和液压系统单项评分；对部件健康评分较低的机组，重点查看发电机、变流器、齿轮箱和主轴单项评分；对结构健康评分较低的机组，重点查看叶轮和塔筒评分。</w:t>
      </w:r>
    </w:p>
    <w:p w14:paraId="26BEBC3D">
      <w:pPr>
        <w:spacing w:after="40"/>
        <w:ind w:left="420" w:hanging="210"/>
        <w:rPr>
          <w:rFonts w:hint="eastAsia" w:ascii="宋体" w:hAnsi="宋体" w:eastAsia="宋体" w:cs="宋体"/>
          <w:sz w:val="24"/>
          <w:szCs w:val="24"/>
        </w:rPr>
      </w:pPr>
      <w:r>
        <w:rPr>
          <w:rFonts w:hint="eastAsia" w:ascii="宋体" w:hAnsi="宋体" w:eastAsia="宋体" w:cs="宋体"/>
          <w:color w:val="000000"/>
          <w:sz w:val="24"/>
          <w:szCs w:val="24"/>
        </w:rPr>
        <w:t>• 结合SCADA运行曲线、告警记录、故障记录、检修记录及现场实际情况，对重点关注机组开展综合核查。</w:t>
      </w:r>
    </w:p>
    <w:p w14:paraId="77DA0F7D">
      <w:pPr>
        <w:spacing w:after="40"/>
        <w:ind w:left="420" w:hanging="210"/>
        <w:rPr>
          <w:rFonts w:hint="eastAsia" w:ascii="宋体" w:hAnsi="宋体" w:eastAsia="宋体" w:cs="宋体"/>
          <w:sz w:val="24"/>
          <w:szCs w:val="24"/>
        </w:rPr>
      </w:pPr>
      <w:r>
        <w:rPr>
          <w:rFonts w:hint="eastAsia" w:ascii="宋体" w:hAnsi="宋体" w:eastAsia="宋体" w:cs="宋体"/>
          <w:color w:val="000000"/>
          <w:sz w:val="24"/>
          <w:szCs w:val="24"/>
        </w:rPr>
        <w:t>• 健康评估结果仅作为较长时间运行状态的相对评价和辅助提示，不建议依据单次评分直接判定设备故障或下达检修结论。</w:t>
      </w:r>
    </w:p>
    <w:sectPr>
      <w:headerReference r:id="rId21" w:type="default"/>
      <w:footerReference r:id="rId22" w:type="default"/>
      <w:pgSz w:w="11906" w:h="16838"/>
      <w:pgMar w:top="1440" w:right="1797" w:bottom="1440" w:left="1797" w:header="680" w:footer="680" w:gutter="0"/>
      <w:cols w:space="720"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EF" w:usb1="C0007841" w:usb2="00000009" w:usb3="00000000" w:csb0="400001FF" w:csb1="FFFF0000"/>
  </w:font>
  <w:font w:name="宋体">
    <w:altName w:val="汉仪书宋二KW"/>
    <w:panose1 w:val="02010600030101010101"/>
    <w:charset w:val="7A"/>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7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ＭＳ ゴシック">
    <w:altName w:val="苹方-简"/>
    <w:panose1 w:val="00000000000000000000"/>
    <w:charset w:val="00"/>
    <w:family w:val="auto"/>
    <w:pitch w:val="default"/>
    <w:sig w:usb0="00000000" w:usb1="00000000" w:usb2="00000000" w:usb3="00000000" w:csb0="00000000" w:csb1="00000000"/>
  </w:font>
  <w:font w:name="Courier">
    <w:altName w:val="苹方-简"/>
    <w:panose1 w:val="02000500000000000000"/>
    <w:charset w:val="00"/>
    <w:family w:val="auto"/>
    <w:pitch w:val="default"/>
    <w:sig w:usb0="00000000" w:usb1="00000000" w:usb2="00000000" w:usb3="00000000" w:csb0="00000001" w:csb1="00000000"/>
  </w:font>
  <w:font w:name="ＭＳ 明朝">
    <w:altName w:val="Hiragino Sans"/>
    <w:panose1 w:val="00000000000000000000"/>
    <w:charset w:val="80"/>
    <w:family w:val="roman"/>
    <w:pitch w:val="default"/>
    <w:sig w:usb0="00000000" w:usb1="00000000" w:usb2="00000010" w:usb3="00000000" w:csb0="00020000" w:csb1="00000000"/>
  </w:font>
  <w:font w:name="Yu Gothic">
    <w:altName w:val="Hiragino Sans"/>
    <w:panose1 w:val="020B0400000000000000"/>
    <w:charset w:val="80"/>
    <w:family w:val="auto"/>
    <w:pitch w:val="default"/>
    <w:sig w:usb0="00000000" w:usb1="00000000" w:usb2="00000016" w:usb3="00000000" w:csb0="2002009F" w:csb1="00000000"/>
  </w:font>
  <w:font w:name="Cambria">
    <w:altName w:val="苹方-简"/>
    <w:panose1 w:val="02040503050406030204"/>
    <w:charset w:val="00"/>
    <w:family w:val="auto"/>
    <w:pitch w:val="default"/>
    <w:sig w:usb0="00000000" w:usb1="00000000" w:usb2="02000000" w:usb3="00000000" w:csb0="2000019F" w:csb1="00000000"/>
  </w:font>
  <w:font w:name="Songti SC Regular">
    <w:panose1 w:val="02010800040101010101"/>
    <w:charset w:val="86"/>
    <w:family w:val="auto"/>
    <w:pitch w:val="default"/>
    <w:sig w:usb0="00000001" w:usb1="080F0000" w:usb2="00000000" w:usb3="00000000" w:csb0="00040000"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宋体-简">
    <w:panose1 w:val="02010800040101010101"/>
    <w:charset w:val="86"/>
    <w:family w:val="auto"/>
    <w:pitch w:val="default"/>
    <w:sig w:usb0="00000001" w:usb1="080F0000" w:usb2="00000000" w:usb3="00000000" w:csb0="00040000" w:csb1="00000000"/>
  </w:font>
  <w:font w:name="Helvetica Neue">
    <w:panose1 w:val="02000503000000020004"/>
    <w:charset w:val="00"/>
    <w:family w:val="auto"/>
    <w:pitch w:val="default"/>
    <w:sig w:usb0="E50002FF" w:usb1="500079DB" w:usb2="00000010" w:usb3="00000000" w:csb0="00000000" w:csb1="00000000"/>
  </w:font>
  <w:font w:name="苹方-简">
    <w:altName w:val="Times New Roman"/>
    <w:panose1 w:val="020B0600000000000000"/>
    <w:charset w:val="00"/>
    <w:family w:val="auto"/>
    <w:pitch w:val="default"/>
    <w:sig w:usb0="A00002FF" w:usb1="7ACFFDFB" w:usb2="00000017" w:usb3="00000000" w:csb0="00040001" w:csb1="00000000"/>
  </w:font>
  <w:font w:name="ＭＳ 明朝">
    <w:altName w:val="Hiragino Sans"/>
    <w:panose1 w:val="00000000000000000000"/>
    <w:charset w:val="00"/>
    <w:family w:val="auto"/>
    <w:pitch w:val="default"/>
    <w:sig w:usb0="00000000" w:usb1="00000000" w:usb2="00000000" w:usb3="00000000" w:csb0="00000000" w:csb1="00000000"/>
  </w:font>
  <w:font w:name="Hiragino Sans">
    <w:panose1 w:val="020B0700000000000000"/>
    <w:charset w:val="80"/>
    <w:family w:val="auto"/>
    <w:pitch w:val="default"/>
    <w:sig w:usb0="800002CF" w:usb1="6AC7FCFC" w:usb2="00000012" w:usb3="00000000" w:csb0="0002000D" w:csb1="00000000"/>
  </w:font>
  <w:font w:name="Kingsoft Sign">
    <w:panose1 w:val="05050102010706020507"/>
    <w:charset w:val="00"/>
    <w:family w:val="auto"/>
    <w:pitch w:val="default"/>
    <w:sig w:usb0="00000000" w:usb1="10000000" w:usb2="00000000" w:usb3="00000000" w:csb0="00000001" w:csb1="00000000"/>
  </w:font>
  <w:font w:name="PingFang SC">
    <w:altName w:val="苹方-简"/>
    <w:panose1 w:val="00000000000000000000"/>
    <w:charset w:val="00"/>
    <w:family w:val="auto"/>
    <w:pitch w:val="default"/>
    <w:sig w:usb0="00000000" w:usb1="00000000" w:usb2="00000000" w:usb3="00000000" w:csb0="00000000" w:csb1="00000000"/>
  </w:font>
  <w:font w:name="Tahoma">
    <w:panose1 w:val="020B0804030504040204"/>
    <w:charset w:val="00"/>
    <w:family w:val="auto"/>
    <w:pitch w:val="default"/>
    <w:sig w:usb0="E1002A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pPr>
      <w:r>
        <w:separator/>
      </w:r>
    </w:p>
  </w:footnote>
  <w:footnote w:type="continuationSeparator" w:id="1">
    <w:p>
      <w:pPr>
        <w:spacing w:before="0" w:after="0"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320A79">
    <w:pPr>
      <w:pStyle w:val="26"/>
      <w:pBdr>
        <w:bottom w:val="none" w:color="auto" w:sz="0" w:space="0"/>
      </w:pBdr>
      <w:tabs>
        <w:tab w:val="center" w:pos="4153"/>
        <w:tab w:val="clear" w:pos="4680"/>
        <w:tab w:val="clear" w:pos="9360"/>
      </w:tabs>
      <w:ind w:firstLine="0" w:firstLineChars="0"/>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F21C25">
    <w:pPr>
      <w:ind w:left="48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8D4D31">
    <w:pPr>
      <w:pBdr>
        <w:bottom w:val="double" w:color="auto" w:sz="4" w:space="1"/>
      </w:pBdr>
      <w:adjustRightInd w:val="0"/>
      <w:snapToGrid w:val="0"/>
      <w:spacing w:after="240" w:line="240" w:lineRule="atLeast"/>
      <w:jc w:val="center"/>
      <w:rPr>
        <w:highlight w:val="yellow"/>
      </w:rPr>
    </w:pPr>
    <w:r>
      <w:rPr>
        <w:rFonts w:hint="eastAsia" w:ascii="Times New Roman" w:hAnsi="Times New Roman" w:eastAsia="宋体" w:cs="Times New Roman"/>
      </w:rPr>
      <w:t xml:space="preserve">大唐新疆能源有限公司十三师风电场风机健康评估报告</w:t>
    </w:r>
    <w:r>
      <w:rPr>
        <w:rFonts w:hint="eastAsia" w:ascii="Times New Roman" w:hAnsi="Times New Roman" w:eastAsia="宋体" w:cs="Times New Roman"/>
        <w:lang w:val="en-US" w:eastAsia="zh-CN"/>
      </w:rPr>
      <w:t/>
    </w:r>
    <w:r>
      <w:rPr>
        <w:rFonts w:hint="default" w:ascii="Times New Roman" w:hAnsi="Times New Roman" w:eastAsia="宋体" w:cs="Times New Roman"/>
        <w:lang w:val="en-US"/>
      </w:rPr>
      <w:t/>
    </w:r>
    <w:r>
      <w:rPr>
        <w:rFonts w:hint="eastAsia" w:ascii="Times New Roman" w:hAnsi="Times New Roman" w:eastAsia="宋体" w:cs="Times New Roman"/>
        <w:lang w:val="en-US" w:eastAsia="zh-CN"/>
      </w:rPr>
      <w:t/>
    </w:r>
    <w:r>
      <w:rPr>
        <w:rFonts w:hint="eastAsia" w:ascii="Times New Roman" w:hAnsi="Times New Roman" w:eastAsia="宋体" w:cs="Times New Roman"/>
      </w:rPr>
      <w:t/>
    </w:r>
    <w:r>
      <w:rPr>
        <w:rFonts w:hint="eastAsia" w:ascii="Times New Roman" w:hAnsi="Times New Roman" w:eastAsia="宋体" w:cs="Times New Roman"/>
        <w:lang w:val="en-US" w:eastAsia="zh-CN"/>
      </w:rPr>
      <w:t/>
    </w:r>
    <w:r>
      <w:rPr>
        <w:rFonts w:hint="default" w:ascii="Times New Roman" w:hAnsi="Times New Roman" w:eastAsia="宋体" w:cs="Times New Roman"/>
        <w:lang w:val="en-US" w:eastAsia="zh-CN"/>
      </w:rPr>
      <w:t/>
    </w:r>
    <w:r>
      <w:rPr>
        <w:rFonts w:hint="eastAsia" w:ascii="Times New Roman" w:hAnsi="Times New Roman" w:eastAsia="宋体" w:cs="Times New Roman"/>
        <w:lang w:val="en-US" w:eastAsia="zh-CN"/>
      </w:rPr>
      <w:t/>
    </w:r>
    <w:r>
      <w:rPr>
        <w:rFonts w:hint="eastAsia" w:ascii="Times New Roman" w:hAnsi="Times New Roman" w:eastAsia="宋体" w:cs="Times New Roman"/>
      </w:rPr>
      <w:t/>
    </w:r>
  </w:p>
  <w:p w14:paraId="07031BFB">
    <w:pPr>
      <w:pStyle w:val="26"/>
      <w:tabs>
        <w:tab w:val="center" w:pos="4153"/>
        <w:tab w:val="right" w:pos="8306"/>
        <w:tab w:val="clear" w:pos="4680"/>
        <w:tab w:val="clear" w:pos="9360"/>
      </w:tabs>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BBDE7E">
    <w:pPr>
      <w:pBdr>
        <w:bottom w:val="double" w:color="auto" w:sz="4" w:space="1"/>
      </w:pBdr>
      <w:adjustRightInd w:val="0"/>
      <w:snapToGrid w:val="0"/>
      <w:spacing w:after="240" w:line="240" w:lineRule="atLeast"/>
      <w:jc w:val="center"/>
      <w:rPr>
        <w:highlight w:val="yellow"/>
      </w:rPr>
    </w:pPr>
    <w:r>
      <w:rPr>
        <w:rFonts w:hint="eastAsia" w:ascii="Times New Roman" w:hAnsi="Times New Roman" w:eastAsia="宋体" w:cs="Times New Roman"/>
      </w:rPr>
      <w:t xml:space="preserve">大唐新疆能源有限公司十三师风电场风机健康评估报告</w:t>
    </w:r>
    <w:r>
      <w:rPr>
        <w:rFonts w:hint="eastAsia" w:ascii="Times New Roman" w:hAnsi="Times New Roman" w:eastAsia="宋体" w:cs="Times New Roman"/>
        <w:lang w:val="en-US" w:eastAsia="zh-CN"/>
      </w:rPr>
      <w:t/>
    </w:r>
    <w:r>
      <w:rPr>
        <w:rFonts w:hint="default" w:ascii="Times New Roman" w:hAnsi="Times New Roman" w:eastAsia="宋体" w:cs="Times New Roman"/>
        <w:lang w:val="en-US"/>
      </w:rPr>
      <w:t/>
    </w:r>
    <w:r>
      <w:rPr>
        <w:rFonts w:hint="eastAsia" w:ascii="Times New Roman" w:hAnsi="Times New Roman" w:eastAsia="宋体" w:cs="Times New Roman"/>
        <w:lang w:val="en-US" w:eastAsia="zh-CN"/>
      </w:rPr>
      <w:t/>
    </w:r>
    <w:r>
      <w:rPr>
        <w:rFonts w:hint="eastAsia" w:ascii="Times New Roman" w:hAnsi="Times New Roman" w:eastAsia="宋体" w:cs="Times New Roman"/>
      </w:rPr>
      <w:t/>
    </w:r>
    <w:r>
      <w:rPr>
        <w:rFonts w:hint="eastAsia" w:ascii="Times New Roman" w:hAnsi="Times New Roman" w:eastAsia="宋体" w:cs="Times New Roman"/>
        <w:lang w:val="en-US" w:eastAsia="zh-CN"/>
      </w:rPr>
      <w:t/>
    </w:r>
    <w:r>
      <w:rPr>
        <w:rFonts w:hint="default" w:ascii="Times New Roman" w:hAnsi="Times New Roman" w:eastAsia="宋体" w:cs="Times New Roman"/>
        <w:lang w:val="en-US" w:eastAsia="zh-CN"/>
      </w:rPr>
      <w:t/>
    </w:r>
    <w:r>
      <w:rPr>
        <w:rFonts w:hint="eastAsia" w:ascii="Times New Roman" w:hAnsi="Times New Roman" w:eastAsia="宋体" w:cs="Times New Roman"/>
        <w:lang w:val="en-US" w:eastAsia="zh-CN"/>
      </w:rPr>
      <w:t/>
    </w:r>
    <w:r>
      <w:rPr>
        <w:rFonts w:hint="eastAsia" w:ascii="Times New Roman" w:hAnsi="Times New Roman" w:eastAsia="宋体" w:cs="Times New Roman"/>
      </w:rPr>
      <w:t/>
    </w:r>
    <w:r>
      <w:rPr>
        <w:rFonts w:hint="eastAsia" w:ascii="Times New Roman" w:hAnsi="Times New Roman" w:eastAsia="宋体" w:cs="Times New Roman"/>
        <w:lang w:val="en-US" w:eastAsia="zh-CN"/>
      </w:rPr>
      <w:t/>
    </w:r>
    <w:r>
      <w:rPr>
        <w:rFonts w:hint="eastAsia" w:ascii="Times New Roman" w:hAnsi="Times New Roman" w:eastAsia="宋体" w:cs="Times New Roman"/>
      </w:rPr>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270A25">
    <w:pPr>
      <w:pBdr>
        <w:bottom w:val="double" w:color="auto" w:sz="4" w:space="1"/>
      </w:pBdr>
      <w:adjustRightInd w:val="0"/>
      <w:snapToGrid w:val="0"/>
      <w:spacing w:after="240" w:line="240" w:lineRule="atLeast"/>
      <w:ind w:firstLine="480"/>
      <w:jc w:val="center"/>
      <w:rPr>
        <w:rFonts w:ascii="Times New Roman" w:hAnsi="Times New Roman" w:eastAsia="宋体" w:cs="Times New Roman"/>
        <w:szCs w:val="21"/>
      </w:rPr>
    </w:pPr>
    <w:r>
      <w:rPr>
        <w:rFonts w:hint="eastAsia" w:ascii="Times New Roman" w:hAnsi="Times New Roman" w:eastAsia="宋体" w:cs="Times New Roman"/>
      </w:rPr>
      <w:t xml:space="preserve">大唐新疆能源有限公司十三师风电场风机健康评估报告</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3E387A">
    <w:pPr>
      <w:pBdr>
        <w:bottom w:val="double" w:color="auto" w:sz="4" w:space="1"/>
      </w:pBdr>
      <w:adjustRightInd w:val="0"/>
      <w:snapToGrid w:val="0"/>
      <w:spacing w:after="240" w:line="240" w:lineRule="atLeast"/>
      <w:jc w:val="center"/>
      <w:rPr>
        <w:highlight w:val="yellow"/>
      </w:rPr>
    </w:pPr>
    <w:r>
      <w:rPr>
        <w:rFonts w:hint="eastAsia"/>
        <w:lang w:eastAsia="zh-CN"/>
      </w:rPr>
      <w:tab/>
    </w:r>
    <w:r>
      <w:rPr>
        <w:rFonts w:hint="eastAsia" w:ascii="Times New Roman" w:hAnsi="Times New Roman" w:eastAsia="宋体" w:cs="Times New Roman"/>
      </w:rPr>
      <w:t xml:space="preserve">大唐新疆能源有限公司十三师风电场风机健康评估报告</w:t>
    </w:r>
    <w:r>
      <w:rPr>
        <w:rFonts w:hint="eastAsia" w:ascii="Times New Roman" w:hAnsi="Times New Roman" w:eastAsia="宋体" w:cs="Times New Roman"/>
        <w:lang w:val="en-US" w:eastAsia="zh-CN"/>
      </w:rPr>
      <w:t/>
    </w:r>
    <w:r>
      <w:rPr>
        <w:rFonts w:hint="default" w:ascii="Times New Roman" w:hAnsi="Times New Roman" w:eastAsia="宋体" w:cs="Times New Roman"/>
        <w:lang w:val="en-US"/>
      </w:rPr>
      <w:t/>
    </w:r>
    <w:r>
      <w:rPr>
        <w:rFonts w:hint="eastAsia" w:ascii="Times New Roman" w:hAnsi="Times New Roman" w:eastAsia="宋体" w:cs="Times New Roman"/>
        <w:lang w:val="en-US" w:eastAsia="zh-CN"/>
      </w:rPr>
      <w:t/>
    </w:r>
    <w:r>
      <w:rPr>
        <w:rFonts w:hint="eastAsia" w:ascii="Times New Roman" w:hAnsi="Times New Roman" w:eastAsia="宋体" w:cs="Times New Roman"/>
      </w:rPr>
      <w:t/>
    </w:r>
    <w:r>
      <w:rPr>
        <w:rFonts w:hint="eastAsia" w:ascii="Times New Roman" w:hAnsi="Times New Roman" w:eastAsia="宋体" w:cs="Times New Roman"/>
        <w:lang w:val="en-US" w:eastAsia="zh-CN"/>
      </w:rPr>
      <w:t/>
    </w:r>
    <w:r>
      <w:rPr>
        <w:rFonts w:hint="default" w:ascii="Times New Roman" w:hAnsi="Times New Roman" w:eastAsia="宋体" w:cs="Times New Roman"/>
        <w:lang w:val="en-US" w:eastAsia="zh-CN"/>
      </w:rPr>
      <w:t/>
    </w:r>
    <w:r>
      <w:rPr>
        <w:rFonts w:hint="eastAsia" w:ascii="Times New Roman" w:hAnsi="Times New Roman" w:eastAsia="宋体" w:cs="Times New Roman"/>
        <w:lang w:val="en-US" w:eastAsia="zh-CN"/>
      </w:rPr>
      <w:t/>
    </w:r>
    <w:r>
      <w:rPr>
        <w:rFonts w:hint="eastAsia" w:ascii="Times New Roman" w:hAnsi="Times New Roman" w:eastAsia="宋体" w:cs="Times New Roman"/>
      </w:rPr>
      <w:t/>
    </w:r>
    <w:r>
      <w:rPr>
        <w:rFonts w:hint="eastAsia" w:ascii="Times New Roman" w:hAnsi="Times New Roman" w:eastAsia="宋体" w:cs="Times New Roman"/>
        <w:lang w:val="en-US" w:eastAsia="zh-CN"/>
      </w:rPr>
      <w:t/>
    </w:r>
    <w:r>
      <w:rPr>
        <w:rFonts w:hint="eastAsia" w:ascii="Times New Roman" w:hAnsi="Times New Roman" w:eastAsia="宋体" w:cs="Times New Roman"/>
      </w:rPr>
      <w:t/>
    </w:r>
  </w:p>
  <w:p w14:paraId="7E9DE956">
    <w:pPr>
      <w:pStyle w:val="26"/>
      <w:tabs>
        <w:tab w:val="left" w:pos="2157"/>
        <w:tab w:val="right" w:pos="8306"/>
        <w:tab w:val="clear" w:pos="4680"/>
        <w:tab w:val="clear" w:pos="9360"/>
      </w:tabs>
      <w:ind w:firstLine="360"/>
      <w:rPr>
        <w:rFonts w:hint="eastAsia" w:eastAsia="宋体"/>
        <w:lang w:eastAsia="zh-C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6D26D3">
    <w:pPr>
      <w:pBdr>
        <w:bottom w:val="double" w:color="auto" w:sz="4" w:space="1"/>
      </w:pBdr>
      <w:adjustRightInd w:val="0"/>
      <w:snapToGrid w:val="0"/>
      <w:spacing w:after="240" w:line="240" w:lineRule="atLeast"/>
      <w:jc w:val="center"/>
      <w:rPr>
        <w:highlight w:val="yellow"/>
      </w:rPr>
    </w:pPr>
    <w:r>
      <w:rPr>
        <w:rFonts w:hint="eastAsia" w:ascii="Times New Roman" w:hAnsi="Times New Roman" w:eastAsia="宋体" w:cs="Times New Roman"/>
      </w:rPr>
      <w:t xml:space="preserve">大唐新疆能源有限公司十三师风电场风机健康评估报告</w:t>
    </w:r>
    <w:r>
      <w:rPr>
        <w:rFonts w:hint="eastAsia" w:ascii="Times New Roman" w:hAnsi="Times New Roman" w:eastAsia="宋体" w:cs="Times New Roman"/>
        <w:lang w:val="en-US" w:eastAsia="zh-CN"/>
      </w:rPr>
      <w:t/>
    </w:r>
    <w:r>
      <w:rPr>
        <w:rFonts w:hint="default" w:ascii="Times New Roman" w:hAnsi="Times New Roman" w:eastAsia="宋体" w:cs="Times New Roman"/>
        <w:lang w:val="en-US"/>
      </w:rPr>
      <w:t/>
    </w:r>
    <w:r>
      <w:rPr>
        <w:rFonts w:hint="eastAsia" w:ascii="Times New Roman" w:hAnsi="Times New Roman" w:eastAsia="宋体" w:cs="Times New Roman"/>
        <w:lang w:val="en-US" w:eastAsia="zh-CN"/>
      </w:rPr>
      <w:t/>
    </w:r>
    <w:r>
      <w:rPr>
        <w:rFonts w:hint="eastAsia" w:ascii="Times New Roman" w:hAnsi="Times New Roman" w:eastAsia="宋体" w:cs="Times New Roman"/>
      </w:rPr>
      <w:t/>
    </w:r>
    <w:r>
      <w:rPr>
        <w:rFonts w:hint="eastAsia" w:ascii="Times New Roman" w:hAnsi="Times New Roman" w:eastAsia="宋体" w:cs="Times New Roman"/>
        <w:lang w:val="en-US" w:eastAsia="zh-CN"/>
      </w:rPr>
      <w:t/>
    </w:r>
    <w:r>
      <w:rPr>
        <w:rFonts w:hint="default" w:ascii="Times New Roman" w:hAnsi="Times New Roman" w:eastAsia="宋体" w:cs="Times New Roman"/>
        <w:lang w:val="en-US" w:eastAsia="zh-CN"/>
      </w:rPr>
      <w:t/>
    </w:r>
    <w:r>
      <w:rPr>
        <w:rFonts w:hint="eastAsia" w:ascii="Times New Roman" w:hAnsi="Times New Roman" w:eastAsia="宋体" w:cs="Times New Roman"/>
        <w:lang w:val="en-US" w:eastAsia="zh-CN"/>
      </w:rPr>
      <w:t/>
    </w:r>
    <w:r>
      <w:rPr>
        <w:rFonts w:hint="eastAsia" w:ascii="Times New Roman" w:hAnsi="Times New Roman" w:eastAsia="宋体" w:cs="Times New Roman"/>
      </w:rPr>
      <w:t/>
    </w:r>
    <w:r>
      <w:rPr>
        <w:rFonts w:hint="eastAsia" w:ascii="Times New Roman" w:hAnsi="Times New Roman" w:eastAsia="宋体" w:cs="Times New Roman"/>
        <w:lang w:val="en-US" w:eastAsia="zh-CN"/>
      </w:rPr>
      <w:t/>
    </w:r>
    <w:r>
      <w:rPr>
        <w:rFonts w:hint="eastAsia" w:ascii="Times New Roman" w:hAnsi="Times New Roman" w:eastAsia="宋体" w:cs="Times New Roman"/>
      </w:rPr>
      <w:t/>
    </w:r>
  </w:p>
  <w:p w14:paraId="66B19D16">
    <w:pPr>
      <w:spacing w:after="0"/>
      <w:jc w:val="cent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A8DC7D">
    <w:pPr>
      <w:spacing w:after="0"/>
      <w:jc w:val="center"/>
    </w:pPr>
    <w:r>
      <w:rPr>
        <w:rFonts w:ascii="Times New Roman" w:hAnsi="Times New Roman" w:eastAsia="宋体"/>
        <w:color w:val="000000"/>
        <w:sz w:val="18"/>
      </w:rPr>
      <w:t xml:space="preserve">大唐新疆能源有限公司十三师风电场风机健康评估报告</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3937CE">
    <w:pPr>
      <w:spacing w:after="0"/>
      <w:jc w:val="center"/>
    </w:pPr>
    <w:r>
      <w:rPr>
        <w:rFonts w:ascii="Times New Roman" w:hAnsi="Times New Roman" w:eastAsia="宋体"/>
        <w:color w:val="000000"/>
        <w:sz w:val="18"/>
      </w:rPr>
      <w:t xml:space="preserve">大唐新疆能源有限公司十三师风电场风机健康评估报告</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1"/>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9"/>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4"/>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7"/>
      <w:lvlText w:val=""/>
      <w:lvlJc w:val="left"/>
      <w:pPr>
        <w:tabs>
          <w:tab w:val="left" w:pos="360"/>
        </w:tabs>
        <w:ind w:left="360" w:hanging="360"/>
      </w:pPr>
      <w:rPr>
        <w:rFonts w:hint="default" w:ascii="Symbol" w:hAnsi="Symbol"/>
      </w:rPr>
    </w:lvl>
  </w:abstractNum>
  <w:abstractNum w:abstractNumId="6">
    <w:nsid w:val="13ADD308"/>
    <w:multiLevelType w:val="multilevel"/>
    <w:tmpl w:val="13ADD308"/>
    <w:lvl w:ilvl="0" w:tentative="0">
      <w:start w:val="1"/>
      <w:numFmt w:val="decimal"/>
      <w:suff w:val="space"/>
      <w:lvlText w:val="%1"/>
      <w:lvlJc w:val="left"/>
      <w:pPr>
        <w:ind w:left="568" w:firstLine="0"/>
      </w:pPr>
      <w:rPr>
        <w:rFonts w:hint="default" w:ascii="Times New Roman" w:hAnsi="Times New Roman" w:eastAsia="宋体" w:cs="Times New Roman"/>
        <w:sz w:val="30"/>
        <w:szCs w:val="30"/>
        <w:lang w:eastAsia="zh-CN"/>
      </w:rPr>
    </w:lvl>
    <w:lvl w:ilvl="1" w:tentative="0">
      <w:start w:val="1"/>
      <w:numFmt w:val="decimal"/>
      <w:suff w:val="space"/>
      <w:lvlText w:val="%1.%2"/>
      <w:lvlJc w:val="left"/>
      <w:pPr>
        <w:ind w:left="426" w:firstLine="0"/>
      </w:pPr>
      <w:rPr>
        <w:rFonts w:hint="default" w:ascii="Times New Roman" w:hAnsi="Times New Roman" w:eastAsia="宋体" w:cs="Times New Roman"/>
        <w:b/>
        <w:bCs/>
        <w:sz w:val="28"/>
        <w:szCs w:val="28"/>
      </w:rPr>
    </w:lvl>
    <w:lvl w:ilvl="2" w:tentative="0">
      <w:start w:val="1"/>
      <w:numFmt w:val="decimal"/>
      <w:suff w:val="space"/>
      <w:lvlText w:val="%1.%2.%3"/>
      <w:lvlJc w:val="left"/>
      <w:pPr>
        <w:ind w:left="1" w:firstLine="0"/>
      </w:pPr>
      <w:rPr>
        <w:rFonts w:hint="default" w:ascii="Times New Roman" w:hAnsi="Times New Roman" w:eastAsia="宋体" w:cs="Times New Roman"/>
        <w:sz w:val="24"/>
        <w:szCs w:val="24"/>
      </w:rPr>
    </w:lvl>
    <w:lvl w:ilvl="3" w:tentative="0">
      <w:start w:val="1"/>
      <w:numFmt w:val="decimal"/>
      <w:suff w:val="space"/>
      <w:lvlText w:val="%1.%2.%3.%4"/>
      <w:lvlJc w:val="left"/>
      <w:pPr>
        <w:tabs>
          <w:tab w:val="left" w:pos="420"/>
        </w:tabs>
        <w:ind w:left="0" w:firstLine="0"/>
      </w:pPr>
      <w:rPr>
        <w:rFonts w:hint="default" w:ascii="Times New Roman" w:hAnsi="Times New Roman" w:eastAsia="宋体" w:cs="Times New Roman"/>
      </w:rPr>
    </w:lvl>
    <w:lvl w:ilvl="4" w:tentative="0">
      <w:start w:val="1"/>
      <w:numFmt w:val="decimal"/>
      <w:lvlText w:val="1）%5"/>
      <w:lvlJc w:val="left"/>
      <w:pPr>
        <w:tabs>
          <w:tab w:val="left" w:pos="420"/>
        </w:tabs>
        <w:ind w:left="0" w:firstLine="800"/>
      </w:pPr>
      <w:rPr>
        <w:rFonts w:hint="default" w:ascii="宋体" w:hAnsi="宋体" w:eastAsia="宋体" w:cs="宋体"/>
      </w:rPr>
    </w:lvl>
    <w:lvl w:ilvl="5" w:tentative="0">
      <w:start w:val="1"/>
      <w:numFmt w:val="decimal"/>
      <w:lvlText w:val="%1.%2.%3.%4.%5.%6"/>
      <w:lvlJc w:val="left"/>
      <w:pPr>
        <w:ind w:left="3260" w:hanging="1134"/>
      </w:pPr>
      <w:rPr>
        <w:rFonts w:hint="default" w:ascii="宋体" w:hAnsi="宋体" w:eastAsia="宋体" w:cs="宋体"/>
      </w:rPr>
    </w:lvl>
    <w:lvl w:ilvl="6" w:tentative="0">
      <w:start w:val="1"/>
      <w:numFmt w:val="decimal"/>
      <w:lvlText w:val="%1.%2.%3.%4.%5.%6.%7"/>
      <w:lvlJc w:val="left"/>
      <w:pPr>
        <w:ind w:left="3827" w:hanging="1276"/>
      </w:pPr>
      <w:rPr>
        <w:rFonts w:hint="default" w:ascii="宋体" w:hAnsi="宋体" w:eastAsia="宋体" w:cs="宋体"/>
      </w:rPr>
    </w:lvl>
    <w:lvl w:ilvl="7" w:tentative="0">
      <w:start w:val="1"/>
      <w:numFmt w:val="decimal"/>
      <w:lvlText w:val="%1.%2.%3.%4.%5.%6.%7.%8"/>
      <w:lvlJc w:val="left"/>
      <w:pPr>
        <w:ind w:left="4394" w:hanging="1418"/>
      </w:pPr>
      <w:rPr>
        <w:rFonts w:hint="default" w:ascii="宋体" w:hAnsi="宋体" w:eastAsia="宋体" w:cs="宋体"/>
      </w:rPr>
    </w:lvl>
    <w:lvl w:ilvl="8" w:tentative="0">
      <w:start w:val="1"/>
      <w:numFmt w:val="decimal"/>
      <w:lvlText w:val="%1.%2.%3.%4.%5.%6.%7.%8.%9"/>
      <w:lvlJc w:val="left"/>
      <w:pPr>
        <w:ind w:left="5102" w:hanging="1700"/>
      </w:pPr>
      <w:rPr>
        <w:rFonts w:hint="default" w:ascii="宋体" w:hAnsi="宋体" w:eastAsia="宋体" w:cs="宋体"/>
      </w:rPr>
    </w:lvl>
  </w:abstractNum>
  <w:num w:numId="1">
    <w:abstractNumId w:val="1"/>
  </w:num>
  <w:num w:numId="2">
    <w:abstractNumId w:val="4"/>
  </w:num>
  <w:num w:numId="3">
    <w:abstractNumId w:val="5"/>
  </w:num>
  <w:num w:numId="4">
    <w:abstractNumId w:val="2"/>
  </w:num>
  <w:num w:numId="5">
    <w:abstractNumId w:val="0"/>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5"/>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4C5B72"/>
    <w:rsid w:val="00AA1D8D"/>
    <w:rsid w:val="00B47730"/>
    <w:rsid w:val="00CB0664"/>
    <w:rsid w:val="00FC693F"/>
    <w:rsid w:val="04216C12"/>
    <w:rsid w:val="073400F5"/>
    <w:rsid w:val="07371D8A"/>
    <w:rsid w:val="07CA09F7"/>
    <w:rsid w:val="093446A7"/>
    <w:rsid w:val="0CC32CB5"/>
    <w:rsid w:val="12C609F1"/>
    <w:rsid w:val="139F2CDE"/>
    <w:rsid w:val="158563B7"/>
    <w:rsid w:val="17981331"/>
    <w:rsid w:val="1A114A67"/>
    <w:rsid w:val="1A857133"/>
    <w:rsid w:val="1B9A1EBC"/>
    <w:rsid w:val="20A63420"/>
    <w:rsid w:val="22E62FBB"/>
    <w:rsid w:val="2499192D"/>
    <w:rsid w:val="276F6341"/>
    <w:rsid w:val="28681C13"/>
    <w:rsid w:val="299627B0"/>
    <w:rsid w:val="2FCD13DA"/>
    <w:rsid w:val="30136048"/>
    <w:rsid w:val="31884D58"/>
    <w:rsid w:val="35AF5218"/>
    <w:rsid w:val="39A84DA7"/>
    <w:rsid w:val="3F8E0A56"/>
    <w:rsid w:val="401541B2"/>
    <w:rsid w:val="405E32CB"/>
    <w:rsid w:val="4061721C"/>
    <w:rsid w:val="42084862"/>
    <w:rsid w:val="48513B2C"/>
    <w:rsid w:val="4D15434A"/>
    <w:rsid w:val="4F355850"/>
    <w:rsid w:val="4F6D797A"/>
    <w:rsid w:val="58086CFC"/>
    <w:rsid w:val="598B35F5"/>
    <w:rsid w:val="5ADD5B51"/>
    <w:rsid w:val="5E95615C"/>
    <w:rsid w:val="61BA5AF9"/>
    <w:rsid w:val="63E044E9"/>
    <w:rsid w:val="64F83B51"/>
    <w:rsid w:val="659B022A"/>
    <w:rsid w:val="673B4D2E"/>
    <w:rsid w:val="6CC67436"/>
    <w:rsid w:val="6D2E2091"/>
    <w:rsid w:val="6D30394E"/>
    <w:rsid w:val="6F2C2F90"/>
    <w:rsid w:val="715851FD"/>
    <w:rsid w:val="715916C6"/>
    <w:rsid w:val="77FB2112"/>
    <w:rsid w:val="7CF97F3A"/>
    <w:rsid w:val="7FE2078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widowControl/>
      <w:spacing w:after="0" w:line="360" w:lineRule="auto"/>
      <w:jc w:val="both"/>
    </w:pPr>
    <w:rPr>
      <w:rFonts w:ascii="Times New Roman" w:hAnsi="Times New Roman" w:eastAsia="宋体" w:cstheme="minorBidi"/>
      <w:color w:val="000000"/>
      <w:sz w:val="21"/>
      <w:szCs w:val="22"/>
      <w:lang w:val="en-US" w:eastAsia="en-US" w:bidi="ar-SA"/>
    </w:rPr>
  </w:style>
  <w:style w:type="paragraph" w:styleId="3">
    <w:name w:val="heading 1"/>
    <w:basedOn w:val="1"/>
    <w:next w:val="1"/>
    <w:link w:val="142"/>
    <w:qFormat/>
    <w:uiPriority w:val="9"/>
    <w:pPr>
      <w:keepNext/>
      <w:keepLines/>
      <w:spacing w:before="240" w:after="120" w:line="288" w:lineRule="auto"/>
      <w:outlineLvl w:val="0"/>
    </w:pPr>
    <w:rPr>
      <w:rFonts w:asciiTheme="majorHAnsi" w:hAnsiTheme="majorHAnsi" w:eastAsiaTheme="majorEastAsia" w:cstheme="majorBidi"/>
      <w:b/>
      <w:bCs/>
      <w:color w:val="000000"/>
      <w:sz w:val="24"/>
      <w:szCs w:val="28"/>
    </w:rPr>
  </w:style>
  <w:style w:type="paragraph" w:styleId="4">
    <w:name w:val="heading 2"/>
    <w:basedOn w:val="1"/>
    <w:next w:val="1"/>
    <w:link w:val="143"/>
    <w:unhideWhenUsed/>
    <w:qFormat/>
    <w:uiPriority w:val="9"/>
    <w:pPr>
      <w:keepNext/>
      <w:keepLines/>
      <w:spacing w:before="160" w:after="80" w:line="288" w:lineRule="auto"/>
      <w:outlineLvl w:val="1"/>
    </w:pPr>
    <w:rPr>
      <w:rFonts w:asciiTheme="majorHAnsi" w:hAnsiTheme="majorHAnsi" w:eastAsiaTheme="majorEastAsia" w:cstheme="majorBidi"/>
      <w:b/>
      <w:bCs/>
      <w:color w:val="000000"/>
      <w:sz w:val="21"/>
      <w:szCs w:val="26"/>
    </w:rPr>
  </w:style>
  <w:style w:type="paragraph" w:styleId="5">
    <w:name w:val="heading 3"/>
    <w:basedOn w:val="1"/>
    <w:next w:val="1"/>
    <w:link w:val="144"/>
    <w:unhideWhenUsed/>
    <w:qFormat/>
    <w:uiPriority w:val="9"/>
    <w:pPr>
      <w:keepNext/>
      <w:keepLines/>
      <w:spacing w:before="120" w:after="60" w:line="288" w:lineRule="auto"/>
      <w:outlineLvl w:val="2"/>
    </w:pPr>
    <w:rPr>
      <w:rFonts w:asciiTheme="majorHAnsi" w:hAnsiTheme="majorHAnsi" w:eastAsiaTheme="majorEastAsia" w:cstheme="majorBidi"/>
      <w:b/>
      <w:bCs/>
      <w:color w:val="000000"/>
      <w:sz w:val="21"/>
    </w:rPr>
  </w:style>
  <w:style w:type="paragraph" w:styleId="6">
    <w:name w:val="heading 4"/>
    <w:basedOn w:val="1"/>
    <w:next w:val="1"/>
    <w:link w:val="154"/>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5"/>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6"/>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7"/>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8"/>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9"/>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6">
    <w:name w:val="Default Paragraph Font"/>
    <w:semiHidden/>
    <w:unhideWhenUsed/>
    <w:qFormat/>
    <w:uiPriority w:val="1"/>
  </w:style>
  <w:style w:type="table" w:default="1" w:styleId="36">
    <w:name w:val="Normal Table"/>
    <w:semiHidden/>
    <w:unhideWhenUsed/>
    <w:qFormat/>
    <w:uiPriority w:val="99"/>
    <w:tblPr>
      <w:tblCellMar>
        <w:top w:w="0" w:type="dxa"/>
        <w:left w:w="108" w:type="dxa"/>
        <w:bottom w:w="0" w:type="dxa"/>
        <w:right w:w="108" w:type="dxa"/>
      </w:tblCellMar>
    </w:tblPr>
  </w:style>
  <w:style w:type="paragraph" w:styleId="2">
    <w:name w:val="macro"/>
    <w:link w:val="151"/>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Normal Indent"/>
    <w:basedOn w:val="1"/>
    <w:next w:val="1"/>
    <w:unhideWhenUsed/>
    <w:qFormat/>
    <w:uiPriority w:val="99"/>
    <w:pPr>
      <w:spacing w:line="400" w:lineRule="exact"/>
      <w:ind w:firstLine="420" w:firstLineChars="200"/>
    </w:pPr>
    <w:rPr>
      <w:rFonts w:eastAsia="宋体"/>
      <w:sz w:val="24"/>
      <w:szCs w:val="24"/>
    </w:rPr>
  </w:style>
  <w:style w:type="paragraph" w:styleId="16">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7">
    <w:name w:val="List Bullet"/>
    <w:basedOn w:val="1"/>
    <w:unhideWhenUsed/>
    <w:qFormat/>
    <w:uiPriority w:val="99"/>
    <w:pPr>
      <w:numPr>
        <w:ilvl w:val="0"/>
        <w:numId w:val="3"/>
      </w:numPr>
      <w:contextualSpacing/>
    </w:pPr>
  </w:style>
  <w:style w:type="paragraph" w:styleId="18">
    <w:name w:val="Body Text 3"/>
    <w:basedOn w:val="1"/>
    <w:link w:val="150"/>
    <w:unhideWhenUsed/>
    <w:qFormat/>
    <w:uiPriority w:val="99"/>
    <w:pPr>
      <w:spacing w:after="120"/>
    </w:pPr>
    <w:rPr>
      <w:sz w:val="16"/>
      <w:szCs w:val="16"/>
    </w:rPr>
  </w:style>
  <w:style w:type="paragraph" w:styleId="19">
    <w:name w:val="List Bullet 3"/>
    <w:basedOn w:val="1"/>
    <w:unhideWhenUsed/>
    <w:qFormat/>
    <w:uiPriority w:val="99"/>
    <w:pPr>
      <w:numPr>
        <w:ilvl w:val="0"/>
        <w:numId w:val="4"/>
      </w:numPr>
      <w:contextualSpacing/>
    </w:pPr>
  </w:style>
  <w:style w:type="paragraph" w:styleId="20">
    <w:name w:val="Body Text"/>
    <w:basedOn w:val="1"/>
    <w:link w:val="148"/>
    <w:unhideWhenUsed/>
    <w:qFormat/>
    <w:uiPriority w:val="99"/>
    <w:pPr>
      <w:spacing w:after="120"/>
    </w:pPr>
  </w:style>
  <w:style w:type="paragraph" w:styleId="21">
    <w:name w:val="List Number 3"/>
    <w:basedOn w:val="1"/>
    <w:unhideWhenUsed/>
    <w:qFormat/>
    <w:uiPriority w:val="99"/>
    <w:pPr>
      <w:numPr>
        <w:ilvl w:val="0"/>
        <w:numId w:val="5"/>
      </w:numPr>
      <w:contextualSpacing/>
    </w:pPr>
  </w:style>
  <w:style w:type="paragraph" w:styleId="22">
    <w:name w:val="List 2"/>
    <w:basedOn w:val="1"/>
    <w:unhideWhenUsed/>
    <w:qFormat/>
    <w:uiPriority w:val="99"/>
    <w:pPr>
      <w:ind w:left="720" w:hanging="360"/>
      <w:contextualSpacing/>
    </w:pPr>
  </w:style>
  <w:style w:type="paragraph" w:styleId="23">
    <w:name w:val="List Continue"/>
    <w:basedOn w:val="1"/>
    <w:unhideWhenUsed/>
    <w:qFormat/>
    <w:uiPriority w:val="99"/>
    <w:pPr>
      <w:spacing w:after="120"/>
      <w:ind w:left="360"/>
      <w:contextualSpacing/>
    </w:pPr>
  </w:style>
  <w:style w:type="paragraph" w:styleId="24">
    <w:name w:val="List Bullet 2"/>
    <w:basedOn w:val="1"/>
    <w:unhideWhenUsed/>
    <w:qFormat/>
    <w:uiPriority w:val="99"/>
    <w:pPr>
      <w:numPr>
        <w:ilvl w:val="0"/>
        <w:numId w:val="6"/>
      </w:numPr>
      <w:contextualSpacing/>
    </w:pPr>
  </w:style>
  <w:style w:type="paragraph" w:styleId="25">
    <w:name w:val="footer"/>
    <w:basedOn w:val="1"/>
    <w:link w:val="140"/>
    <w:unhideWhenUsed/>
    <w:qFormat/>
    <w:uiPriority w:val="99"/>
    <w:pPr>
      <w:tabs>
        <w:tab w:val="center" w:pos="4680"/>
        <w:tab w:val="right" w:pos="9360"/>
      </w:tabs>
      <w:spacing w:after="0" w:line="240" w:lineRule="auto"/>
    </w:pPr>
  </w:style>
  <w:style w:type="paragraph" w:styleId="26">
    <w:name w:val="header"/>
    <w:basedOn w:val="1"/>
    <w:link w:val="139"/>
    <w:unhideWhenUsed/>
    <w:qFormat/>
    <w:uiPriority w:val="99"/>
    <w:pPr>
      <w:tabs>
        <w:tab w:val="center" w:pos="4680"/>
        <w:tab w:val="right" w:pos="9360"/>
      </w:tabs>
      <w:spacing w:after="0" w:line="240" w:lineRule="auto"/>
    </w:pPr>
  </w:style>
  <w:style w:type="paragraph" w:styleId="27">
    <w:name w:val="toc 1"/>
    <w:basedOn w:val="1"/>
    <w:next w:val="1"/>
    <w:unhideWhenUsed/>
    <w:qFormat/>
    <w:uiPriority w:val="39"/>
    <w:pPr>
      <w:tabs>
        <w:tab w:val="left" w:pos="480"/>
        <w:tab w:val="left" w:pos="720"/>
        <w:tab w:val="right" w:leader="dot" w:pos="8494"/>
      </w:tabs>
      <w:adjustRightInd w:val="0"/>
      <w:snapToGrid w:val="0"/>
      <w:spacing w:line="400" w:lineRule="exact"/>
    </w:pPr>
    <w:rPr>
      <w:rFonts w:ascii="Times New Roman" w:hAnsi="Times New Roman" w:eastAsia="宋体"/>
      <w:sz w:val="24"/>
    </w:rPr>
  </w:style>
  <w:style w:type="paragraph" w:styleId="28">
    <w:name w:val="Subtitle"/>
    <w:basedOn w:val="1"/>
    <w:next w:val="1"/>
    <w:link w:val="14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9">
    <w:name w:val="List"/>
    <w:basedOn w:val="1"/>
    <w:unhideWhenUsed/>
    <w:qFormat/>
    <w:uiPriority w:val="99"/>
    <w:pPr>
      <w:ind w:left="360" w:hanging="360"/>
      <w:contextualSpacing/>
    </w:pPr>
  </w:style>
  <w:style w:type="paragraph" w:styleId="30">
    <w:name w:val="toc 2"/>
    <w:basedOn w:val="1"/>
    <w:next w:val="1"/>
    <w:unhideWhenUsed/>
    <w:qFormat/>
    <w:uiPriority w:val="39"/>
    <w:pPr>
      <w:tabs>
        <w:tab w:val="right" w:pos="1200"/>
        <w:tab w:val="right" w:leader="dot" w:pos="8494"/>
      </w:tabs>
      <w:adjustRightInd w:val="0"/>
      <w:snapToGrid w:val="0"/>
      <w:spacing w:line="400" w:lineRule="exact"/>
      <w:ind w:firstLine="100" w:firstLineChars="100"/>
    </w:pPr>
    <w:rPr>
      <w:rFonts w:ascii="Times New Roman" w:hAnsi="Times New Roman" w:eastAsia="宋体"/>
      <w:sz w:val="24"/>
    </w:rPr>
  </w:style>
  <w:style w:type="paragraph" w:styleId="31">
    <w:name w:val="Body Text 2"/>
    <w:basedOn w:val="1"/>
    <w:link w:val="149"/>
    <w:unhideWhenUsed/>
    <w:qFormat/>
    <w:uiPriority w:val="99"/>
    <w:pPr>
      <w:spacing w:after="120" w:line="480" w:lineRule="auto"/>
    </w:pPr>
  </w:style>
  <w:style w:type="paragraph" w:styleId="32">
    <w:name w:val="List Continue 2"/>
    <w:basedOn w:val="1"/>
    <w:unhideWhenUsed/>
    <w:qFormat/>
    <w:uiPriority w:val="99"/>
    <w:pPr>
      <w:spacing w:after="120"/>
      <w:ind w:left="720"/>
      <w:contextualSpacing/>
    </w:pPr>
  </w:style>
  <w:style w:type="paragraph" w:styleId="33">
    <w:name w:val="Normal (Web)"/>
    <w:basedOn w:val="1"/>
    <w:semiHidden/>
    <w:unhideWhenUsed/>
    <w:uiPriority w:val="99"/>
    <w:pPr>
      <w:spacing w:before="0" w:beforeAutospacing="1" w:after="0" w:afterAutospacing="1"/>
      <w:ind w:left="0" w:right="0"/>
      <w:jc w:val="left"/>
    </w:pPr>
    <w:rPr>
      <w:kern w:val="0"/>
      <w:sz w:val="24"/>
      <w:lang w:val="en-US" w:eastAsia="zh-CN" w:bidi="ar"/>
    </w:rPr>
  </w:style>
  <w:style w:type="paragraph" w:styleId="34">
    <w:name w:val="List Continue 3"/>
    <w:basedOn w:val="1"/>
    <w:unhideWhenUsed/>
    <w:qFormat/>
    <w:uiPriority w:val="99"/>
    <w:pPr>
      <w:spacing w:after="120"/>
      <w:ind w:left="1080"/>
      <w:contextualSpacing/>
    </w:pPr>
  </w:style>
  <w:style w:type="paragraph" w:styleId="35">
    <w:name w:val="Title"/>
    <w:basedOn w:val="1"/>
    <w:next w:val="1"/>
    <w:link w:val="145"/>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7">
    <w:name w:val="Table Grid"/>
    <w:basedOn w:val="36"/>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8">
    <w:name w:val="Light Shading"/>
    <w:basedOn w:val="36"/>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9">
    <w:name w:val="Light Shading Accent 1"/>
    <w:basedOn w:val="36"/>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40">
    <w:name w:val="Light Shading Accent 2"/>
    <w:basedOn w:val="36"/>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41">
    <w:name w:val="Light Shading Accent 3"/>
    <w:basedOn w:val="36"/>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2">
    <w:name w:val="Light Shading Accent 4"/>
    <w:basedOn w:val="36"/>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3">
    <w:name w:val="Light Shading Accent 5"/>
    <w:basedOn w:val="36"/>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4">
    <w:name w:val="Light Shading Accent 6"/>
    <w:basedOn w:val="36"/>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5">
    <w:name w:val="Light List"/>
    <w:basedOn w:val="36"/>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6">
    <w:name w:val="Light List Accent 1"/>
    <w:basedOn w:val="36"/>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7">
    <w:name w:val="Light List Accent 2"/>
    <w:basedOn w:val="36"/>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8">
    <w:name w:val="Light List Accent 3"/>
    <w:basedOn w:val="36"/>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9">
    <w:name w:val="Light List Accent 4"/>
    <w:basedOn w:val="36"/>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50">
    <w:name w:val="Light List Accent 5"/>
    <w:basedOn w:val="36"/>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1">
    <w:name w:val="Light List Accent 6"/>
    <w:basedOn w:val="36"/>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2">
    <w:name w:val="Light Grid"/>
    <w:basedOn w:val="36"/>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3">
    <w:name w:val="Light Grid Accent 1"/>
    <w:basedOn w:val="36"/>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4">
    <w:name w:val="Light Grid Accent 2"/>
    <w:basedOn w:val="36"/>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5">
    <w:name w:val="Light Grid Accent 3"/>
    <w:basedOn w:val="36"/>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6">
    <w:name w:val="Light Grid Accent 4"/>
    <w:basedOn w:val="36"/>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7">
    <w:name w:val="Light Grid Accent 5"/>
    <w:basedOn w:val="36"/>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8">
    <w:name w:val="Light Grid Accent 6"/>
    <w:basedOn w:val="36"/>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9">
    <w:name w:val="Medium Shading 1"/>
    <w:basedOn w:val="36"/>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60">
    <w:name w:val="Medium Shading 1 Accent 1"/>
    <w:basedOn w:val="36"/>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61">
    <w:name w:val="Medium Shading 1 Accent 2"/>
    <w:basedOn w:val="36"/>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2">
    <w:name w:val="Medium Shading 1 Accent 3"/>
    <w:basedOn w:val="36"/>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3">
    <w:name w:val="Medium Shading 1 Accent 4"/>
    <w:basedOn w:val="36"/>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4">
    <w:name w:val="Medium Shading 1 Accent 5"/>
    <w:basedOn w:val="36"/>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5">
    <w:name w:val="Medium Shading 1 Accent 6"/>
    <w:basedOn w:val="36"/>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6">
    <w:name w:val="Medium Shading 2"/>
    <w:basedOn w:val="36"/>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1"/>
    <w:basedOn w:val="36"/>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2"/>
    <w:basedOn w:val="36"/>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3"/>
    <w:basedOn w:val="36"/>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4"/>
    <w:basedOn w:val="36"/>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Shading 2 Accent 5"/>
    <w:basedOn w:val="36"/>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2">
    <w:name w:val="Medium Shading 2 Accent 6"/>
    <w:basedOn w:val="36"/>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3">
    <w:name w:val="Medium List 1"/>
    <w:basedOn w:val="36"/>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4">
    <w:name w:val="Medium List 1 Accent 1"/>
    <w:basedOn w:val="36"/>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5">
    <w:name w:val="Medium List 1 Accent 2"/>
    <w:basedOn w:val="36"/>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6">
    <w:name w:val="Medium List 1 Accent 3"/>
    <w:basedOn w:val="36"/>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7">
    <w:name w:val="Medium List 1 Accent 4"/>
    <w:basedOn w:val="36"/>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8">
    <w:name w:val="Medium List 1 Accent 5"/>
    <w:basedOn w:val="36"/>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9">
    <w:name w:val="Medium List 1 Accent 6"/>
    <w:basedOn w:val="36"/>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80">
    <w:name w:val="Medium List 2"/>
    <w:basedOn w:val="36"/>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1"/>
    <w:basedOn w:val="36"/>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2"/>
    <w:basedOn w:val="36"/>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3"/>
    <w:basedOn w:val="36"/>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4"/>
    <w:basedOn w:val="36"/>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List 2 Accent 5"/>
    <w:basedOn w:val="36"/>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6">
    <w:name w:val="Medium List 2 Accent 6"/>
    <w:basedOn w:val="36"/>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7">
    <w:name w:val="Medium Grid 1"/>
    <w:basedOn w:val="36"/>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8">
    <w:name w:val="Medium Grid 1 Accent 1"/>
    <w:basedOn w:val="36"/>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9">
    <w:name w:val="Medium Grid 1 Accent 2"/>
    <w:basedOn w:val="36"/>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90">
    <w:name w:val="Medium Grid 1 Accent 3"/>
    <w:basedOn w:val="36"/>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91">
    <w:name w:val="Medium Grid 1 Accent 4"/>
    <w:basedOn w:val="36"/>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2">
    <w:name w:val="Medium Grid 1 Accent 5"/>
    <w:basedOn w:val="36"/>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3">
    <w:name w:val="Medium Grid 1 Accent 6"/>
    <w:basedOn w:val="36"/>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4">
    <w:name w:val="Medium Grid 2"/>
    <w:basedOn w:val="36"/>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5">
    <w:name w:val="Medium Grid 2 Accent 1"/>
    <w:basedOn w:val="36"/>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6">
    <w:name w:val="Medium Grid 2 Accent 2"/>
    <w:basedOn w:val="36"/>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7">
    <w:name w:val="Medium Grid 2 Accent 3"/>
    <w:basedOn w:val="36"/>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8">
    <w:name w:val="Medium Grid 2 Accent 4"/>
    <w:basedOn w:val="36"/>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9">
    <w:name w:val="Medium Grid 2 Accent 5"/>
    <w:basedOn w:val="36"/>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100">
    <w:name w:val="Medium Grid 2 Accent 6"/>
    <w:basedOn w:val="36"/>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101">
    <w:name w:val="Medium Grid 3"/>
    <w:basedOn w:val="36"/>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2">
    <w:name w:val="Medium Grid 3 Accent 1"/>
    <w:basedOn w:val="36"/>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3">
    <w:name w:val="Medium Grid 3 Accent 2"/>
    <w:basedOn w:val="36"/>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4">
    <w:name w:val="Medium Grid 3 Accent 3"/>
    <w:basedOn w:val="36"/>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5">
    <w:name w:val="Medium Grid 3 Accent 4"/>
    <w:basedOn w:val="36"/>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6">
    <w:name w:val="Medium Grid 3 Accent 5"/>
    <w:basedOn w:val="36"/>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7">
    <w:name w:val="Medium Grid 3 Accent 6"/>
    <w:basedOn w:val="36"/>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8">
    <w:name w:val="Dark List"/>
    <w:basedOn w:val="36"/>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9">
    <w:name w:val="Dark List Accent 1"/>
    <w:basedOn w:val="36"/>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10">
    <w:name w:val="Dark List Accent 2"/>
    <w:basedOn w:val="36"/>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11">
    <w:name w:val="Dark List Accent 3"/>
    <w:basedOn w:val="36"/>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2">
    <w:name w:val="Dark List Accent 4"/>
    <w:basedOn w:val="36"/>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3">
    <w:name w:val="Dark List Accent 5"/>
    <w:basedOn w:val="36"/>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4">
    <w:name w:val="Dark List Accent 6"/>
    <w:basedOn w:val="36"/>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5">
    <w:name w:val="Colorful Shading"/>
    <w:basedOn w:val="36"/>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1"/>
    <w:basedOn w:val="36"/>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2"/>
    <w:basedOn w:val="36"/>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3"/>
    <w:basedOn w:val="36"/>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9">
    <w:name w:val="Colorful Shading Accent 4"/>
    <w:basedOn w:val="36"/>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Shading Accent 5"/>
    <w:basedOn w:val="36"/>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Shading Accent 6"/>
    <w:basedOn w:val="36"/>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2">
    <w:name w:val="Colorful List"/>
    <w:basedOn w:val="36"/>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3">
    <w:name w:val="Colorful List Accent 1"/>
    <w:basedOn w:val="36"/>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4">
    <w:name w:val="Colorful List Accent 2"/>
    <w:basedOn w:val="36"/>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5">
    <w:name w:val="Colorful List Accent 3"/>
    <w:basedOn w:val="36"/>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6">
    <w:name w:val="Colorful List Accent 4"/>
    <w:basedOn w:val="36"/>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7">
    <w:name w:val="Colorful List Accent 5"/>
    <w:basedOn w:val="36"/>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8">
    <w:name w:val="Colorful List Accent 6"/>
    <w:basedOn w:val="36"/>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9">
    <w:name w:val="Colorful Grid"/>
    <w:basedOn w:val="36"/>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30">
    <w:name w:val="Colorful Grid Accent 1"/>
    <w:basedOn w:val="36"/>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31">
    <w:name w:val="Colorful Grid Accent 2"/>
    <w:basedOn w:val="36"/>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2">
    <w:name w:val="Colorful Grid Accent 3"/>
    <w:basedOn w:val="36"/>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3">
    <w:name w:val="Colorful Grid Accent 4"/>
    <w:basedOn w:val="36"/>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4">
    <w:name w:val="Colorful Grid Accent 5"/>
    <w:basedOn w:val="36"/>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5">
    <w:name w:val="Colorful Grid Accent 6"/>
    <w:basedOn w:val="36"/>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7">
    <w:name w:val="Strong"/>
    <w:basedOn w:val="136"/>
    <w:qFormat/>
    <w:uiPriority w:val="22"/>
    <w:rPr>
      <w:b/>
      <w:bCs/>
    </w:rPr>
  </w:style>
  <w:style w:type="character" w:styleId="138">
    <w:name w:val="Emphasis"/>
    <w:basedOn w:val="136"/>
    <w:qFormat/>
    <w:uiPriority w:val="20"/>
    <w:rPr>
      <w:i/>
      <w:iCs/>
    </w:rPr>
  </w:style>
  <w:style w:type="character" w:customStyle="1" w:styleId="139">
    <w:name w:val="Header Char"/>
    <w:basedOn w:val="136"/>
    <w:link w:val="26"/>
    <w:qFormat/>
    <w:uiPriority w:val="99"/>
  </w:style>
  <w:style w:type="character" w:customStyle="1" w:styleId="140">
    <w:name w:val="Footer Char"/>
    <w:basedOn w:val="136"/>
    <w:link w:val="25"/>
    <w:qFormat/>
    <w:uiPriority w:val="99"/>
  </w:style>
  <w:style w:type="paragraph" w:styleId="141">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42">
    <w:name w:val="Heading 1 Char"/>
    <w:basedOn w:val="136"/>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43">
    <w:name w:val="Heading 2 Char"/>
    <w:basedOn w:val="136"/>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4">
    <w:name w:val="Heading 3 Char"/>
    <w:basedOn w:val="136"/>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5">
    <w:name w:val="Title Char"/>
    <w:basedOn w:val="136"/>
    <w:link w:val="35"/>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6">
    <w:name w:val="Subtitle Char"/>
    <w:basedOn w:val="136"/>
    <w:link w:val="28"/>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7">
    <w:name w:val="List Paragraph"/>
    <w:basedOn w:val="1"/>
    <w:qFormat/>
    <w:uiPriority w:val="34"/>
    <w:pPr>
      <w:ind w:left="720"/>
      <w:contextualSpacing/>
    </w:pPr>
  </w:style>
  <w:style w:type="character" w:customStyle="1" w:styleId="148">
    <w:name w:val="Body Text Char"/>
    <w:basedOn w:val="136"/>
    <w:link w:val="20"/>
    <w:qFormat/>
    <w:uiPriority w:val="99"/>
  </w:style>
  <w:style w:type="character" w:customStyle="1" w:styleId="149">
    <w:name w:val="Body Text 2 Char"/>
    <w:basedOn w:val="136"/>
    <w:link w:val="31"/>
    <w:qFormat/>
    <w:uiPriority w:val="99"/>
  </w:style>
  <w:style w:type="character" w:customStyle="1" w:styleId="150">
    <w:name w:val="Body Text 3 Char"/>
    <w:basedOn w:val="136"/>
    <w:link w:val="18"/>
    <w:qFormat/>
    <w:uiPriority w:val="99"/>
    <w:rPr>
      <w:sz w:val="16"/>
      <w:szCs w:val="16"/>
    </w:rPr>
  </w:style>
  <w:style w:type="character" w:customStyle="1" w:styleId="151">
    <w:name w:val="Macro Text Char"/>
    <w:basedOn w:val="136"/>
    <w:link w:val="2"/>
    <w:qFormat/>
    <w:uiPriority w:val="99"/>
    <w:rPr>
      <w:rFonts w:ascii="Courier" w:hAnsi="Courier"/>
      <w:sz w:val="20"/>
      <w:szCs w:val="20"/>
    </w:rPr>
  </w:style>
  <w:style w:type="paragraph" w:styleId="152">
    <w:name w:val="Quote"/>
    <w:basedOn w:val="1"/>
    <w:next w:val="1"/>
    <w:link w:val="153"/>
    <w:qFormat/>
    <w:uiPriority w:val="29"/>
    <w:rPr>
      <w:i/>
      <w:iCs/>
      <w:color w:val="000000" w:themeColor="text1"/>
      <w14:textFill>
        <w14:solidFill>
          <w14:schemeClr w14:val="tx1"/>
        </w14:solidFill>
      </w14:textFill>
    </w:rPr>
  </w:style>
  <w:style w:type="character" w:customStyle="1" w:styleId="153">
    <w:name w:val="Quote Char"/>
    <w:basedOn w:val="136"/>
    <w:link w:val="152"/>
    <w:qFormat/>
    <w:uiPriority w:val="29"/>
    <w:rPr>
      <w:i/>
      <w:iCs/>
      <w:color w:val="000000" w:themeColor="text1"/>
      <w14:textFill>
        <w14:solidFill>
          <w14:schemeClr w14:val="tx1"/>
        </w14:solidFill>
      </w14:textFill>
    </w:rPr>
  </w:style>
  <w:style w:type="character" w:customStyle="1" w:styleId="154">
    <w:name w:val="Heading 4 Char"/>
    <w:basedOn w:val="136"/>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5">
    <w:name w:val="Heading 5 Char"/>
    <w:basedOn w:val="136"/>
    <w:link w:val="7"/>
    <w:semiHidden/>
    <w:qFormat/>
    <w:uiPriority w:val="9"/>
    <w:rPr>
      <w:rFonts w:asciiTheme="majorHAnsi" w:hAnsiTheme="majorHAnsi" w:eastAsiaTheme="majorEastAsia" w:cstheme="majorBidi"/>
      <w:color w:val="254061" w:themeColor="accent1" w:themeShade="80"/>
    </w:rPr>
  </w:style>
  <w:style w:type="character" w:customStyle="1" w:styleId="156">
    <w:name w:val="Heading 6 Char"/>
    <w:basedOn w:val="136"/>
    <w:link w:val="8"/>
    <w:semiHidden/>
    <w:qFormat/>
    <w:uiPriority w:val="9"/>
    <w:rPr>
      <w:rFonts w:asciiTheme="majorHAnsi" w:hAnsiTheme="majorHAnsi" w:eastAsiaTheme="majorEastAsia" w:cstheme="majorBidi"/>
      <w:i/>
      <w:iCs/>
      <w:color w:val="254061" w:themeColor="accent1" w:themeShade="80"/>
    </w:rPr>
  </w:style>
  <w:style w:type="character" w:customStyle="1" w:styleId="157">
    <w:name w:val="Heading 7 Char"/>
    <w:basedOn w:val="136"/>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8">
    <w:name w:val="Heading 8 Char"/>
    <w:basedOn w:val="136"/>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9">
    <w:name w:val="Heading 9 Char"/>
    <w:basedOn w:val="136"/>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60">
    <w:name w:val="Intense Quote"/>
    <w:basedOn w:val="1"/>
    <w:next w:val="1"/>
    <w:link w:val="161"/>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61">
    <w:name w:val="Intense Quote Char"/>
    <w:basedOn w:val="136"/>
    <w:link w:val="160"/>
    <w:qFormat/>
    <w:uiPriority w:val="30"/>
    <w:rPr>
      <w:b/>
      <w:bCs/>
      <w:i/>
      <w:iCs/>
      <w:color w:val="4F81BD" w:themeColor="accent1"/>
      <w14:textFill>
        <w14:solidFill>
          <w14:schemeClr w14:val="accent1"/>
        </w14:solidFill>
      </w14:textFill>
    </w:rPr>
  </w:style>
  <w:style w:type="character" w:customStyle="1" w:styleId="162">
    <w:name w:val="Subtle Emphasis"/>
    <w:basedOn w:val="136"/>
    <w:qFormat/>
    <w:uiPriority w:val="19"/>
    <w:rPr>
      <w:i/>
      <w:iCs/>
      <w:color w:val="808080" w:themeColor="text1" w:themeTint="80"/>
      <w14:textFill>
        <w14:solidFill>
          <w14:schemeClr w14:val="tx1">
            <w14:lumMod w14:val="50000"/>
            <w14:lumOff w14:val="50000"/>
          </w14:schemeClr>
        </w14:solidFill>
      </w14:textFill>
    </w:rPr>
  </w:style>
  <w:style w:type="character" w:customStyle="1" w:styleId="163">
    <w:name w:val="Intense Emphasis"/>
    <w:basedOn w:val="136"/>
    <w:qFormat/>
    <w:uiPriority w:val="21"/>
    <w:rPr>
      <w:b/>
      <w:bCs/>
      <w:i/>
      <w:iCs/>
      <w:color w:val="4F81BD" w:themeColor="accent1"/>
      <w14:textFill>
        <w14:solidFill>
          <w14:schemeClr w14:val="accent1"/>
        </w14:solidFill>
      </w14:textFill>
    </w:rPr>
  </w:style>
  <w:style w:type="character" w:customStyle="1" w:styleId="164">
    <w:name w:val="Subtle Reference"/>
    <w:basedOn w:val="136"/>
    <w:qFormat/>
    <w:uiPriority w:val="31"/>
    <w:rPr>
      <w:smallCaps/>
      <w:color w:val="C0504D" w:themeColor="accent2"/>
      <w:u w:val="single"/>
      <w14:textFill>
        <w14:solidFill>
          <w14:schemeClr w14:val="accent2"/>
        </w14:solidFill>
      </w14:textFill>
    </w:rPr>
  </w:style>
  <w:style w:type="character" w:customStyle="1" w:styleId="165">
    <w:name w:val="Intense Reference"/>
    <w:basedOn w:val="136"/>
    <w:qFormat/>
    <w:uiPriority w:val="32"/>
    <w:rPr>
      <w:b/>
      <w:bCs/>
      <w:smallCaps/>
      <w:color w:val="C0504D" w:themeColor="accent2"/>
      <w:spacing w:val="5"/>
      <w:u w:val="single"/>
      <w14:textFill>
        <w14:solidFill>
          <w14:schemeClr w14:val="accent2"/>
        </w14:solidFill>
      </w14:textFill>
    </w:rPr>
  </w:style>
  <w:style w:type="character" w:customStyle="1" w:styleId="166">
    <w:name w:val="Book Title"/>
    <w:basedOn w:val="136"/>
    <w:qFormat/>
    <w:uiPriority w:val="33"/>
    <w:rPr>
      <w:b/>
      <w:bCs/>
      <w:smallCaps/>
      <w:spacing w:val="5"/>
    </w:rPr>
  </w:style>
  <w:style w:type="paragraph" w:customStyle="1" w:styleId="167">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9" Type="http://schemas.openxmlformats.org/officeDocument/2006/relationships/fontTable" Target="fontTable.xml"/><Relationship Id="rId28" Type="http://schemas.openxmlformats.org/officeDocument/2006/relationships/customXml" Target="../customXml/item1.xml"/><Relationship Id="rId27" Type="http://schemas.openxmlformats.org/officeDocument/2006/relationships/numbering" Target="numbering.xml"/><Relationship Id="rId26" Type="http://schemas.openxmlformats.org/officeDocument/2006/relationships/image" Target="media/image3.png"/><Relationship Id="rId25" Type="http://schemas.openxmlformats.org/officeDocument/2006/relationships/image" Target="media/image2.png"/><Relationship Id="rId24" Type="http://schemas.openxmlformats.org/officeDocument/2006/relationships/image" Target="media/image1.png"/><Relationship Id="rId23" Type="http://schemas.openxmlformats.org/officeDocument/2006/relationships/theme" Target="theme/theme1.xml"/><Relationship Id="rId22" Type="http://schemas.openxmlformats.org/officeDocument/2006/relationships/footer" Target="footer9.xml"/><Relationship Id="rId21" Type="http://schemas.openxmlformats.org/officeDocument/2006/relationships/header" Target="header9.xml"/><Relationship Id="rId20" Type="http://schemas.openxmlformats.org/officeDocument/2006/relationships/footer" Target="footer8.xml"/><Relationship Id="rId2" Type="http://schemas.openxmlformats.org/officeDocument/2006/relationships/settings" Target="settings.xml"/><Relationship Id="rId19" Type="http://schemas.openxmlformats.org/officeDocument/2006/relationships/header" Target="header8.xml"/><Relationship Id="rId18" Type="http://schemas.openxmlformats.org/officeDocument/2006/relationships/footer" Target="footer7.xml"/><Relationship Id="rId17" Type="http://schemas.openxmlformats.org/officeDocument/2006/relationships/header" Target="header7.xml"/><Relationship Id="rId16" Type="http://schemas.openxmlformats.org/officeDocument/2006/relationships/footer" Target="footer6.xml"/><Relationship Id="rId15" Type="http://schemas.openxmlformats.org/officeDocument/2006/relationships/footer" Target="footer5.xml"/><Relationship Id="rId14" Type="http://schemas.openxmlformats.org/officeDocument/2006/relationships/footer" Target="footer4.xml"/><Relationship Id="rId13" Type="http://schemas.openxmlformats.org/officeDocument/2006/relationships/header" Target="header6.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 Id="rId30" Type="http://schemas.openxmlformats.org/officeDocument/2006/relationships/image" Target="media/image_generated_1.png"/><Relationship Id="rId31" Type="http://schemas.openxmlformats.org/officeDocument/2006/relationships/image" Target="media/image_generated_2.png"/><Relationship Id="rId32" Type="http://schemas.openxmlformats.org/officeDocument/2006/relationships/image" Target="media/image_generated_3.png"/><Relationship Id="rId33" Type="http://schemas.openxmlformats.org/officeDocument/2006/relationships/image" Target="media/image_generated_4.png"/><Relationship Id="rId34" Type="http://schemas.openxmlformats.org/officeDocument/2006/relationships/image" Target="media/image_generated_5.png"/><Relationship Id="rId35" Type="http://schemas.openxmlformats.org/officeDocument/2006/relationships/image" Target="media/image_generated_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tyleName="APA" SelectedStyle="/APA.XSL"/>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52</Words>
  <Characters>91</Characters>
  <Lines>0</Lines>
  <Paragraphs>0</Paragraphs>
  <TotalTime>31</TotalTime>
  <ScaleCrop>false</ScaleCrop>
  <LinksUpToDate>false</LinksUpToDate>
  <CharactersWithSpaces>94</CharactersWithSpaces>
  <Application>WPS Office_12.1.26055.26055_F1E327BC-269C-435d-A152-05C5408002CA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2013-12-24T07:15:00Z</dcterms:created>
  <dc:creator>项目组</dc:creator>
  <dc:description>generated by python-docx</dc:description>
  <cp:keywords>风电机组;健康评估;风场级报告;自动生成</cp:keywords>
  <cp:lastModifiedBy>六十三</cp:lastModifiedBy>
  <dcterms:modified xsi:type="dcterms:W3CDTF">2026-09-21T10:51:31Z</dcterms:modified>
  <dc:subject>风场级健康评估自动报告模板</dc:subject>
  <dc:title>风电机组健康评估风场级自动报告模板</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eyJoZGlkIjoiZTY5YmU1MDhmN2EyMGQ1OGVhMWI1MzI0MDE0Nzg3N2QiLCJ1c2VySWQiOiIyNzQ4MjcxMTEifQ==</vt:lpwstr>
  </property>
  <property fmtid="{D5CDD505-2E9C-101B-9397-08002B2CF9AE}" pid="3" name="KSOProductBuildVer">
    <vt:lpwstr>2052-12.1.26055.26055</vt:lpwstr>
  </property>
  <property fmtid="{D5CDD505-2E9C-101B-9397-08002B2CF9AE}" pid="4" name="ICV">
    <vt:lpwstr>35E0621E8864C951B39BB06A9E3BDB14_43</vt:lpwstr>
  </property>
</Properties>
</file>