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2.20.0（与系统版本一致）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2.20.0；内容以样本风电场（下称"本场"）为依据，样本场实测日期为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本文不重复需求条目本身（那是《需求分析_观澜_2.20.0.docx》的职责），也不重复操作步骤的逐步手册（那是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与《需求分析_观澜_2.20.0.docx》的对应关系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所示；与《数据要求说明_观澜_2.20.0.docx》的数据侧口径去向见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2.20.0；打包文件名由 src/version.py 的 package_name() 给出，为 app_guanlang_v2.20.0.zip。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2.20.0，因此它正是"安装前检查会提示版本差异"的活样本；重装或升级后会随之更新。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本章对应《需求分析_观澜_2.20.0.docx》第 11 章（场配置化、机组与机型可替换、数据源形态可适配、阈值按场标定、术语与单位可配、跨场统一口径、按场裁剪收资、换场验收检查表）与《数据要求说明_观澜_2.20.0.docx》第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2.20.0 条目）、docs/需求分析_观澜_2.20.0.docx、scripts/delivery_docs_figures.py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迁移，每页签与重构前页面指纹对拍通过后，才删除对应的 Python 前端源码（用户令）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2.20.0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