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2.11.0（与系统版本一致）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2.11.0；内容以样本风电场（下称"本场"）为依据，样本场实测日期为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本文不重复需求条目本身（那是《需求分析_观澜_2.11.0.docx》的职责），也不重复操作步骤的逐步手册（那是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与《需求分析_观澜_2.11.0.docx》的对应关系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所示；与《数据要求说明_观澜_2.11.0.docx》的数据侧口径去向见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2.11.0；打包文件名由 src/version.py 的 package_name() 给出，为 app_guanlang_v2.11.0.zip。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：判据写在代码里、模型只做转述；相对判据封顶"候选"；不同观测面不因为数量多就当作多源印证；外部原因造成的结果不写成设备不可靠。落地证据：src/ontology/mcp_server.py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：把判级放进模型会让同一份数据在不同机器上给出不同结论，也会让结论无法回溯到证据。因此模型只在问答、解释、引用三个位置出现，且必须过接地闸：src/ontology/mcp_server.py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 xml:space="preserve">；模块根下 </w:t>
      </w:r>
      <w:r>
        <w:rPr>
          <w:rFonts w:ascii="Consolas" w:hAnsi="Consolas" w:eastAsia="宋体"/>
          <w:b w:val="0"/>
          <w:color w:val="000000"/>
          <w:sz w:val="24"/>
        </w:rPr>
        <w:t>common/</w:t>
      </w:r>
      <w:r>
        <w:rPr>
          <w:rFonts w:ascii="Times New Roman" w:hAnsi="Times New Roman" w:eastAsia="宋体"/>
          <w:b w:val="0"/>
          <w:color w:val="000000"/>
          <w:sz w:val="24"/>
        </w:rPr>
        <w:t xml:space="preserve"> 放</w:t>
      </w:r>
      <w:r>
        <w:rPr>
          <w:rFonts w:ascii="Times New Roman" w:hAnsi="Times New Roman" w:eastAsia="宋体"/>
          <w:b/>
          <w:color w:val="000000"/>
          <w:sz w:val="24"/>
        </w:rPr>
        <w:t>跨模块可复用的公共组件</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common/app_&lt;模块&gt;_guanlan/</w:t>
      </w:r>
      <w:r>
        <w:rPr>
          <w:rFonts w:ascii="Times New Roman" w:hAnsi="Times New Roman" w:eastAsia="宋体"/>
          <w:b w:val="0"/>
          <w:color w:val="000000"/>
          <w:sz w:val="24"/>
        </w:rPr>
        <w:t xml:space="preserve"> 放</w:t>
      </w:r>
      <w:r>
        <w:rPr>
          <w:rFonts w:ascii="Times New Roman" w:hAnsi="Times New Roman" w:eastAsia="宋体"/>
          <w:b/>
          <w:color w:val="000000"/>
          <w:sz w:val="24"/>
        </w:rPr>
        <w:t>观澜在该模块的实现</w:t>
      </w:r>
      <w:r>
        <w:rPr>
          <w:rFonts w:ascii="Times New Roman" w:hAnsi="Times New Roman" w:eastAsia="宋体"/>
          <w:b w:val="0"/>
          <w:color w:val="000000"/>
          <w:sz w:val="24"/>
        </w:rPr>
        <w:t>，</w:t>
      </w:r>
      <w:r>
        <w:rPr>
          <w:rFonts w:ascii="Consolas" w:hAnsi="Consolas" w:eastAsia="宋体"/>
          <w:b w:val="0"/>
          <w:color w:val="000000"/>
          <w:sz w:val="24"/>
        </w:rPr>
        <w:t>api.py</w:t>
      </w:r>
      <w:r>
        <w:rPr>
          <w:rFonts w:ascii="Times New Roman" w:hAnsi="Times New Roman" w:eastAsia="宋体"/>
          <w:b w:val="0"/>
          <w:color w:val="000000"/>
          <w:sz w:val="24"/>
        </w:rPr>
        <w:t xml:space="preserve"> 是该模块</w:t>
      </w:r>
      <w:r>
        <w:rPr>
          <w:rFonts w:ascii="Times New Roman" w:hAnsi="Times New Roman" w:eastAsia="宋体"/>
          <w:b/>
          <w:color w:val="000000"/>
          <w:sz w:val="24"/>
        </w:rPr>
        <w:t>唯一的对外公开面</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app_dataAccess/</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前端：工作台单页与交互、图表库、门户与静态件</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P5</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check、src/ontology/llm_gate.py、fast_agent.py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src/ontology/maintenance.py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src/sop/wrapup.py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除实时取数外，系统还有一条"烘焙"路线：把接口响应烤进单个 HTML 文件，使其离线也能打开。烘焙器是 src/windscada/ui/snapshot.py 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是单页应用（src/windscada/ui/app.js，133 KB，另有 charts.js 30.8 KB 与 app.css 24.2 KB）。首屏只取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本体层对外暴露一组只读工具（src/ontology/mcp_server.py），全部为纯函数、模型零写权、判级零生成，只转述对象里的判级原文与审级。工具共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src/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耗时预算按档位给出（src/ontology/fast_agent.py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2.11.0，因此它正是"安装前检查会提示版本差异"的活样本；重装或升级后会随之更新。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configs/farms/_模板.yaml.example 复制成 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本章对应《需求分析_观澜_2.11.0.docx》第 11 章（场配置化、机组与机型可替换、数据源形态可适配、阈值按场标定、术语与单位可配、跨场统一口径、按场裁剪收资、换场验收检查表）与《数据要求说明_观澜_2.11.0.docx》第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2.11.0 条目）、docs/需求分析_观澜_2.11.0.docx、scripts/delivery_docs_figures.py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docs/系统设计说明.md（四条设计铁律）、src/ontology/mcp_server.py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scripts/windscada_serve.py（词表、按时间窗缓存、pending、预热）、src/windscada/ui/app.js、src/version.py（2.9.0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scripts/windscada_serve.py（路由与烘焙调用）、scripts/guanlan_gateway.py（改写与豁免）、src/windscada/ui/snapshot.py、src/windscada/ui/app.js、scripts/windscada_overview_build.py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src/ontology/kb_ingest.py、populate.py、chain_ingest.py、trend_ingest.py、retrieval.py、maintenance.py、mcp_server.py、scripts/guanlan_facts_contract.py、scripts/sop_findings_from_ledger.py、outputs/&lt;场&gt;/ontology（实测规模）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configs/models.json、src/ontology/fast_agent.py、src/ontology/llm_gate.py、logs/audit/llm_audit.jsonl、docs/版本记录.md（2.9.1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src/ontology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2.11.0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