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2.10.4（与系统版本一致）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2.10.4；内容以样本风电场（下称"本场"）为依据，样本场实测日期为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本文不重复需求条目本身（那是《需求分析_观澜_2.10.4.docx》的职责），也不重复操作步骤的逐步手册（那是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与《需求分析_观澜_2.10.4.docx》的对应关系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所示；与《数据要求说明_观澜_2.10.4.docx》的数据侧口径去向见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2.10.4；打包文件名由 src/version.py 的 package_name() 给出，为 app_guanlang_v2.10.4.zip。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：判据写在代码里、模型只做转述；相对判据封顶"候选"；不同观测面不因为数量多就当作多源印证；外部原因造成的结果不写成设备不可靠。落地证据：src/ontology/mcp_server.py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：把判级放进模型会让同一份数据在不同机器上给出不同结论，也会让结论无法回溯到证据。因此模型只在问答、解释、引用三个位置出现，且必须过接地闸：src/ontology/mcp_server.py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check、src/ontology/llm_gate.py、fast_agent.py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src/ontology/maintenance.py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src/sop/wrapup.py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除实时取数外，系统还有一条"烘焙"路线：把接口响应烤进单个 HTML 文件，使其离线也能打开。烘焙器是 src/windscada/ui/snapshot.py 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是单页应用（src/windscada/ui/app.js，133 KB，另有 charts.js 30.8 KB 与 app.css 24.2 KB）。首屏只取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本体层对外暴露一组只读工具（src/ontology/mcp_server.py），全部为纯函数、模型零写权、判级零生成，只转述对象里的判级原文与审级。工具共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src/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耗时预算按档位给出（src/ontology/fast_agent.py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2.10.4，因此它正是"安装前检查会提示版本差异"的活样本；重装或升级后会随之更新。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configs/farms/_模板.yaml.example 复制成 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本章对应《需求分析_观澜_2.10.4.docx》第 11 章（场配置化、机组与机型可替换、数据源形态可适配、阈值按场标定、术语与单位可配、跨场统一口径、按场裁剪收资、换场验收检查表）与《数据要求说明_观澜_2.10.4.docx》第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2.10.4 条目）、docs/需求分析_观澜_2.10.4.docx、scripts/delivery_docs_figures.py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docs/系统设计说明.md（四条设计铁律）、src/ontology/mcp_server.py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scripts/windscada_serve.py（词表、按时间窗缓存、pending、预热）、src/windscada/ui/app.js、src/version.py（2.9.0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scripts/windscada_serve.py（路由与烘焙调用）、scripts/guanlan_gateway.py（改写与豁免）、src/windscada/ui/snapshot.py、src/windscada/ui/app.js、scripts/windscada_overview_build.py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src/ontology/kb_ingest.py、populate.py、chain_ingest.py、trend_ingest.py、retrieval.py、maintenance.py、mcp_server.py、scripts/guanlan_facts_contract.py、scripts/sop_findings_from_ledger.py、outputs/&lt;场&gt;/ontology（实测规模）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configs/models.json、src/ontology/fast_agent.py、src/ontology/llm_gate.py、logs/audit/llm_audit.jsonl、docs/版本记录.md（2.9.1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src/ontology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2.10.4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