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2.11.0；打包文件名由 src/version.py 的 package_name() 给出，为 app_guanlang_v2.11.0.zip。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前端：工作台单页与交互、图表库、门户与静态件</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P5</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本章对应《需求分析_观澜_2.11.0.docx》第 11 章（场配置化、机组与机型可替换、数据源形态可适配、阈值按场标定、术语与单位可配、跨场统一口径、按场裁剪收资、换场验收检查表）与《数据要求说明_观澜_2.11.0.docx》第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2.11.0 条目）、docs/需求分析_观澜_2.11.0.docx、scripts/delivery_docs_figures.py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