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2.10.1（与系统版本一致）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 scripts/delivery_docs_build.py 依 docs/src 下的 markdown 源件生成（可重跑、可 diff）</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2.10.1；内容以样本风电场（下称"本场"）为依据，样本场实测日期为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本文不重复需求条目本身（那是《需求分析_观澜_2.10.1.docx》的职责），也不重复操作步骤的逐步手册（那是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与《需求分析_观澜_2.10.1.docx》的对应关系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所示；与《数据要求说明_观澜_2.10.1.docx》的数据侧口径去向见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2.10.1；打包文件名由 src/version.py 的 package_name() 给出，为 app_guanlang_v2.10.1.zip。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src/windscada/ui/snapshot.py 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是单页应用（src/windscada/ui/app.js，133 KB，另有 charts.js 30.8 KB 与 app.css 24.2 KB）。首屏只取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2.10.1，因此它正是"安装前检查会提示版本差异"的活样本；重装或升级后会随之更新。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本章对应《需求分析_观澜_2.10.1.docx》第 11 章（场配置化、机组与机型可替换、数据源形态可适配、阈值按场标定、术语与单位可配、跨场统一口径、按场裁剪收资、换场验收检查表）与《数据要求说明_观澜_2.10.1.docx》第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2.10.1 条目）、docs/需求分析_观澜_2.10.1.docx、scripts/delivery_docs_figures.py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scripts/windscada_serve.py（词表、按时间窗缓存、pending、预热）、src/windscada/ui/app.js、src/version.py（2.9.0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scripts/windscada_serve.py（路由与烘焙调用）、scripts/guanlan_gateway.py（改写与豁免）、src/windscada/ui/snapshot.py、src/windscada/ui/app.js、scripts/windscada_overview_build.py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设计说明 · 观澜 v2 风电场智能分析系统 · 版本 2.10.1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