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数据要求说明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风电场智能分析系统（结合现场《数据分析收资要求-v3》）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2.85.0（与系统版本一致）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本文说明「观澜 v2（风电场智能分析系统）」在运行、判级与出件时</w:t>
      </w:r>
      <w:r>
        <w:rPr>
          <w:rFonts w:ascii="Times New Roman" w:hAnsi="Times New Roman" w:eastAsia="宋体"/>
          <w:b/>
          <w:color w:val="000000"/>
          <w:sz w:val="24"/>
        </w:rPr>
        <w:t>实际需要</w:t>
      </w:r>
      <w:r>
        <w:rPr>
          <w:rFonts w:ascii="Times New Roman" w:hAnsi="Times New Roman" w:eastAsia="宋体"/>
          <w:b w:val="0"/>
          <w:color w:val="000000"/>
          <w:sz w:val="24"/>
        </w:rPr>
        <w:t>的输入数据：需要哪些数据类别、每一类里需要哪些测点（字段）、每个测点是什么业务含义、以什么度量单位提交、以及这一类到底是</w:t>
      </w:r>
      <w:r>
        <w:rPr>
          <w:rFonts w:ascii="Times New Roman" w:hAnsi="Times New Roman" w:eastAsia="宋体"/>
          <w:b/>
          <w:color w:val="000000"/>
          <w:sz w:val="24"/>
        </w:rPr>
        <w:t>必须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Times New Roman" w:hAnsi="Times New Roman" w:eastAsia="宋体"/>
          <w:b/>
          <w:color w:val="000000"/>
          <w:sz w:val="24"/>
        </w:rPr>
        <w:t>建议</w:t>
      </w:r>
      <w:r>
        <w:rPr>
          <w:rFonts w:ascii="Times New Roman" w:hAnsi="Times New Roman" w:eastAsia="宋体"/>
          <w:b w:val="0"/>
          <w:color w:val="000000"/>
          <w:sz w:val="24"/>
        </w:rPr>
        <w:t>还是</w:t>
      </w:r>
      <w:r>
        <w:rPr>
          <w:rFonts w:ascii="Times New Roman" w:hAnsi="Times New Roman" w:eastAsia="宋体"/>
          <w:b/>
          <w:color w:val="000000"/>
          <w:sz w:val="24"/>
        </w:rPr>
        <w:t>可选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本文是一份</w:t>
      </w:r>
      <w:r>
        <w:rPr>
          <w:rFonts w:ascii="Times New Roman" w:hAnsi="Times New Roman" w:eastAsia="宋体"/>
          <w:b/>
          <w:color w:val="000000"/>
          <w:sz w:val="24"/>
        </w:rPr>
        <w:t>对外、通用</w:t>
      </w:r>
      <w:r>
        <w:rPr>
          <w:rFonts w:ascii="Times New Roman" w:hAnsi="Times New Roman" w:eastAsia="宋体"/>
          <w:b w:val="0"/>
          <w:color w:val="000000"/>
          <w:sz w:val="24"/>
        </w:rPr>
        <w:t>的数据需求规格：任何一座风电场都可以直接按本文收资，也可以按本文逐条核对「要什么、为什么要、缺了会怎样」。本文的表述与任何具体场站无关，收资的落地口径由现场按本文第 8 章的清单执行。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本文的测点清单覆盖四类：主干运行数据、安全链与数字输入、执行器与热管理、计数与统计账。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1-1　</w:t>
      </w:r>
      <w:r>
        <w:rPr>
          <w:rFonts w:ascii="Times New Roman" w:hAnsi="Times New Roman" w:eastAsia="宋体"/>
          <w:b/>
          <w:color w:val="000000"/>
          <w:sz w:val="21"/>
        </w:rPr>
        <w:t>表 1-1 本文读者的使用方式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读者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怎么用本文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现场数据管理员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8 章的清单收资、按第 4 章的索引核对测点是否齐全、按第 5 章检查质量是否达标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本系统实施与运维人员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2 章判断某一类数据支撑哪些功能、按第 6 章判断某一类是否阻断主线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3 章的测点清单与第 4 章的索引确认测点业务含义与度量单位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交付与验收人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7 章逐条对照收资要求、按第 6 章确认必选与可选的边界、按附录 C 追到依据来源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必须性分级定义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本文对每一类数据、每一个测点都给出</w:t>
      </w:r>
      <w:r>
        <w:rPr>
          <w:rFonts w:ascii="Times New Roman" w:hAnsi="Times New Roman" w:eastAsia="宋体"/>
          <w:b/>
          <w:color w:val="000000"/>
          <w:sz w:val="24"/>
        </w:rPr>
        <w:t>必须性</w:t>
      </w:r>
      <w:r>
        <w:rPr>
          <w:rFonts w:ascii="Times New Roman" w:hAnsi="Times New Roman" w:eastAsia="宋体"/>
          <w:b w:val="0"/>
          <w:color w:val="000000"/>
          <w:sz w:val="24"/>
        </w:rPr>
        <w:t>，只取三个取值：必须、建议、可选。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1-2　</w:t>
      </w:r>
      <w:r>
        <w:rPr>
          <w:rFonts w:ascii="Times New Roman" w:hAnsi="Times New Roman" w:eastAsia="宋体"/>
          <w:b/>
          <w:color w:val="000000"/>
          <w:sz w:val="21"/>
        </w:rPr>
        <w:t>表 1-2 必须性分级定义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分级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核心分析面（判级、发电性能、可靠性、台账）直接依赖；缺则该面不可判或整步降级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该分析面显示缺件或不可判，重算链对应步骤响亮报错或跳过，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不造数、不猜数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支撑交叉校验与二次确认；缺了不阻断主线，但会削弱结论的可信度与可追溯性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结论仍在，但依据变少，跨源互证与闭环核对做不了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增强型输入，只在特定专题或外部对照里使用；不参与常规重算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测点表中的「是否必须」指该测点</w:t>
      </w:r>
      <w:r>
        <w:rPr>
          <w:rFonts w:ascii="Times New Roman" w:hAnsi="Times New Roman" w:eastAsia="宋体"/>
          <w:b/>
          <w:color w:val="000000"/>
          <w:sz w:val="24"/>
        </w:rPr>
        <w:t>在本类数据之内</w:t>
      </w:r>
      <w:r>
        <w:rPr>
          <w:rFonts w:ascii="Times New Roman" w:hAnsi="Times New Roman" w:eastAsia="宋体"/>
          <w:b w:val="0"/>
          <w:color w:val="000000"/>
          <w:sz w:val="24"/>
        </w:rPr>
        <w:t>的必需程度；某一类的整体分档见第 6 章第 2 节。若某一类由本系统自算件或已提交的其他数据顶替，顶替口径必须随产物写明；现场正本提交后，正本优先。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口径声明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本文只写对数据的要求，不描述任何具体场站的任何数据情况。全文遵守以下口径：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（1）不出现任何具体场站的数据提交情况、件数、体量、行数、时间覆盖与日期。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（2）不出现任何具体台号、机组编号与机组数量；需要表述范围时写「全场机组（按场实际台数）」或「逐台」。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（3）不出现任何具体文件名、文件扩展名与目录路径；需要说明「怎么交」时只写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，例如「逐台一张表，一行一个时间戳」「一个代码表文件，两列：代码、说明」。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（4）不出现英文测点标识、英文列名与英文缩写点表名；测点一律用</w:t>
      </w:r>
      <w:r>
        <w:rPr>
          <w:rFonts w:ascii="Times New Roman" w:hAnsi="Times New Roman" w:eastAsia="宋体"/>
          <w:b/>
          <w:color w:val="000000"/>
          <w:sz w:val="24"/>
        </w:rPr>
        <w:t>中文业务含义名称</w:t>
      </w:r>
      <w:r>
        <w:rPr>
          <w:rFonts w:ascii="Times New Roman" w:hAnsi="Times New Roman" w:eastAsia="宋体"/>
          <w:b w:val="0"/>
          <w:color w:val="000000"/>
          <w:sz w:val="24"/>
        </w:rPr>
        <w:t>称呼。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（5）必要出现的公文式英文简写一律写成「中文（英文简写）」形式。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（6）度量单位只取自已取证的口径；查不到的写「未取证」，</w:t>
      </w:r>
      <w:r>
        <w:rPr>
          <w:rFonts w:ascii="Times New Roman" w:hAnsi="Times New Roman" w:eastAsia="宋体"/>
          <w:b/>
          <w:color w:val="000000"/>
          <w:sz w:val="24"/>
        </w:rPr>
        <w:t>不凭常识补单位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（7）含「窗」且确指时间范围之处一律写「时间窗」；涉及波及范围之处写「影响机组／影响机组数」。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（8）全文用简体中文与半角数字单位。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术语约定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1-3　</w:t>
      </w:r>
      <w:r>
        <w:rPr>
          <w:rFonts w:ascii="Times New Roman" w:hAnsi="Times New Roman" w:eastAsia="宋体"/>
          <w:b/>
          <w:color w:val="000000"/>
          <w:sz w:val="21"/>
        </w:rPr>
        <w:t>表 1-3 术语与约定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约定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测点（字段）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源件中的一个数据列。本文一律以中文业务含义名称称呼，不以英文标识称呼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业务含义名称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对该测点所测物理量及其在分析中所起作用的中文表述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一段时间范围。本文凡含「窗」且确指时间范围之处均写「时间窗」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影响机组／影响机组数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某类数据缺失时被波及的机组，或该机组的数量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全场机组（按场实际台数）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不指任何具体台数；实际台数按场确定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每一台机组各一份记录或各一份表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交付形态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数据以什么形态提交（例如逐台一张表、一行一个时间戳）；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不指定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具体文件名与存放位置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收资要求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现场《数据分析收资要求-v3》所列的收资项；本文按其 21 类逐类给出要求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数据采集与监视控制系统（SCADA）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机组与场级运行数据的常规采集系统；本文的 10 分钟数据与秒级数据均属此列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状态监测系统（CMS）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机舱与传动链振动的在线监测系统；本文的机舱振动数据属此列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可靠性指标的中文（英文简写）写法示例；本文一律采用该写法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数据分类总表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2-1　</w:t>
      </w:r>
      <w:r>
        <w:rPr>
          <w:rFonts w:ascii="Times New Roman" w:hAnsi="Times New Roman" w:eastAsia="宋体"/>
          <w:b/>
          <w:color w:val="000000"/>
          <w:sz w:val="21"/>
        </w:rPr>
        <w:t>表 2-1 数据分类总表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支撑功能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最小可用量（时长/采样/范围）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判级四轴（变桨、偏航、蓄能、温度）、发电性能与功率曲线、损失电量、停机事件、热链与冷却、控制参数一致性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逐台一份，采样 600 秒，统计时长建议不少于 2 年；范围全场机组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瞬态与启停过程、限电指令响应、振动与工况关联、故障前后的秒级回溯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秒之间，统计时长至少 3 个月；范围全场机组、全测点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自由流风速与湍流度、风廓线、功率曲线与尾流的外部锚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前期实地测风满一年（采样 5 分钟或 15 分钟）；运行期一整年分钟级；无风速标准差时须采样 1 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发电性能偏差判别与合同指标对标的基准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标准空气密度曲线与合同担保曲线各一条，覆盖切入至切出风速段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振动分母、功率曲线基准、控制参数参照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邻域与尾流先验、扇区分析、台号与集电线路的地理对照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报警台账、停机账、限电绑定、首发链、检修工单与闭环验证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振动索引与谱库、部件状态评估、在升与换件闭环、机群基线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发电账、可利用率与利用小时、损失电量、偏航与停机统计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保护判据的最终依据、控制参数一致性、偏航与降载策略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定值表成册，另加偏航控制策略与降载控制策略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故障前后高分辨率快照的秒级回溯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每次机组故障后触发前后一段记录，采样秒级或更高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逐台设计基线与测风依据，用作外部对照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场站元信息，用于背景、署名与台账筛选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图示化的机位与电气布置对照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合同指标对标（担保曲线、保证率与考核条款）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全本，含担保曲线附件与保证率条款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与运行数据侧损失账交叉核对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检修面与闭环验证，与油样、报警三源交叉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覆盖分析时间窗的维护台账与检修台账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部件在升与换件闭环的判定输入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位域语义、控制逻辑与回路判据的最终依据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振动阶次定位与寿命评估的分母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逐类数据要求与测点清单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本章按收资要求的 21 类逐类给出要求。每一节先写用途与最小可用量，再给出一张测点清单表；表头固定四列：测点／字段名、业务含义、度量单位、是否必须。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10 分钟 SCADA 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：本系统的</w:t>
      </w:r>
      <w:r>
        <w:rPr>
          <w:rFonts w:ascii="Times New Roman" w:hAnsi="Times New Roman" w:eastAsia="宋体"/>
          <w:b/>
          <w:color w:val="000000"/>
          <w:sz w:val="24"/>
        </w:rPr>
        <w:t>主数据层</w:t>
      </w:r>
      <w:r>
        <w:rPr>
          <w:rFonts w:ascii="Times New Roman" w:hAnsi="Times New Roman" w:eastAsia="宋体"/>
          <w:b w:val="0"/>
          <w:color w:val="000000"/>
          <w:sz w:val="24"/>
        </w:rPr>
        <w:t>。判级四轴（变桨、偏航、蓄能、温度）、发电性能与功率曲线、损失电量、停机事件、热链与冷却、控制参数一致性全部由它派生。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：全场机组（按场实际台数）逐台一份，采样周期 600 秒，一行一个时间戳；统计时长建议不少于 2 年，其中判级用的参照时间窗与季节匹配时间窗各需一段。测点为全量测点，其中下述清单为核心必选集。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：逐台一张表，一行一个时间戳；同一台可另附同台补充件；一律</w:t>
      </w:r>
      <w:r>
        <w:rPr>
          <w:rFonts w:ascii="Times New Roman" w:hAnsi="Times New Roman" w:eastAsia="宋体"/>
          <w:b/>
          <w:color w:val="000000"/>
          <w:sz w:val="24"/>
        </w:rPr>
        <w:t>按列名</w:t>
      </w:r>
      <w:r>
        <w:rPr>
          <w:rFonts w:ascii="Times New Roman" w:hAnsi="Times New Roman" w:eastAsia="宋体"/>
          <w:b w:val="0"/>
          <w:color w:val="000000"/>
          <w:sz w:val="24"/>
        </w:rPr>
        <w:t>读取，禁用位置索引；文本编码必须带字节顺序标记，否则中文列名会读成乱码。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：功率 kW、电量 kWh、风速 m/s、转速 r/min、角度 °、温度 ℃、压力 bar、时长 s、计数 次。查不到单位依据的测点写「未取证」。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　</w:t>
      </w:r>
      <w:r>
        <w:rPr>
          <w:rFonts w:ascii="Times New Roman" w:hAnsi="Times New Roman" w:eastAsia="宋体"/>
          <w:b/>
          <w:color w:val="000000"/>
          <w:sz w:val="21"/>
        </w:rPr>
        <w:t>表 3-1 10 分钟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并网点有功功率的十分钟平均值，是功率分箱、发电态判定、功率曲线与发电性能分析的主输入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十分钟区间内有功功率的最大值，用于识别功率封顶与控制参数一致性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十分钟区间内有功功率的最小值，用于识别夜间自耗与停机态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主控下发的有功给定在区间末端的取值，用于限电命令面分类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机组当前可发功率的参照值，用于限电损失与可发出力口径核对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十分钟区间内的发电量增量，用于电量账与损失电量对拍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自并网起的累计有功电量，用于电量账闭合核对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机组自身耗电量（含夜间自耗），用于净发电量口径核对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并网点无功功率，用于电压支撑与功率因数核对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并网点累计无功电量，用于并网性能核对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3.1.2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　</w:t>
      </w:r>
      <w:r>
        <w:rPr>
          <w:rFonts w:ascii="Times New Roman" w:hAnsi="Times New Roman" w:eastAsia="宋体"/>
          <w:b/>
          <w:color w:val="000000"/>
          <w:sz w:val="21"/>
        </w:rPr>
        <w:t>表 3-2 10 分钟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机舱顶部风速计测得的原始风速，是功率曲线横轴与低风待机判定的主要风源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第二路独立风速计的测得风速，用于风速量测互证与测风链路故障判别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由功率反推得到的补偿风速，仅作运行参考；不得用于功率曲线与湍流度分析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区间内风速的标准差，是湍流度分析的直接输入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机舱风向标的瞬时风向（以机舱编码器为基准），用于相对风向与对风偏差分析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偏航系统输出的滤波绝对风向估计；其基准是否为地理北必须由现场明确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按环境温度与气压折算的空气密度，是功率曲线归一化的前提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场址大气压力，用于空气密度折算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机舱内部相对湿度，用于舱内凝露风险与除湿回路分析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塔筒内部相对湿度，用于塔筒内凝露风险与除湿回路分析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塔架一阶频率估计值，用于结构共振与转速禁区的交叉核对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3.1.3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　</w:t>
      </w:r>
      <w:r>
        <w:rPr>
          <w:rFonts w:ascii="Times New Roman" w:hAnsi="Times New Roman" w:eastAsia="宋体"/>
          <w:b/>
          <w:color w:val="000000"/>
          <w:sz w:val="21"/>
        </w:rPr>
        <w:t>表 3-3 10 分钟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发电机转速的十分钟平均值，用于转矩、叶尖速比与功率曲线校核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发电机转速的十分钟最大值，用于识别转速封顶与控制参数一致性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叶轮（主传动）转速的十分钟平均值，用于叶尖速比与转矩计算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主控下发的发电机转速给定，用于控制律与跟随误差分析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3.1.4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　</w:t>
      </w:r>
      <w:r>
        <w:rPr>
          <w:rFonts w:ascii="Times New Roman" w:hAnsi="Times New Roman" w:eastAsia="宋体"/>
          <w:b/>
          <w:color w:val="000000"/>
          <w:sz w:val="21"/>
        </w:rPr>
        <w:t>表 3-4 10 分钟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号叶片桨距角的十分钟平均值，用于功率曲线、三叶不平衡与变桨面判级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三个叶片桨距角的最大值与最小值之差，是变桨同步性与三叶一致性的直接判据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变桨系统接收的桨距角给定，用于跟随误差与执行器可用性判断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桨距角的变化速率，用于变桨速率与载荷分析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变桨电机电流，用于变桨负载与电气异常判断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变桨电机输出转矩，用于变桨驱动能力判断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变桨柜内部温度，用于变桨电气部件的热环境判断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3.1.5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3-5　</w:t>
      </w:r>
      <w:r>
        <w:rPr>
          <w:rFonts w:ascii="Times New Roman" w:hAnsi="Times New Roman" w:eastAsia="宋体"/>
          <w:b/>
          <w:color w:val="000000"/>
          <w:sz w:val="21"/>
        </w:rPr>
        <w:t>表 3-5 10 分钟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机舱外部环境温度，是空气密度口径与热汇参考，也是季节解耦的基准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机舱内部温度，是热汇参考之一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轮毂内部温度，反映轮毂热环境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齿轮箱润滑油温度，是齿轮箱即时热汇与温升判据的主用测点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处的温度，与油温之差为冷却与加热回路温降口径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处的温度，用途同上；三带中任一带若为恒值或未接线必须显式标注并排除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处的温度，用途同上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相绕组温度，用于发电机面、热链节点与三相极差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液压站油温，用于蓄能面的同油温档比较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机舱变压器油温，用于变压器温升与冷却分析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变压器所在层的空气温度，用于温升口径计算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与机舱变压器油温为同一条信号的副本；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禁作第二独立证据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主开关板柜外侧温度，用于柜体热环境监控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高速轴刹车发电机侧温度，用于高速轴刹车热状态判断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高速轴刹车叶轮侧温度，用途同上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变流器冷却水温度，是热链的热汇节点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温度类测点的判级口径为</w:t>
      </w:r>
      <w:r>
        <w:rPr>
          <w:rFonts w:ascii="Times New Roman" w:hAnsi="Times New Roman" w:eastAsia="宋体"/>
          <w:b/>
          <w:color w:val="000000"/>
          <w:sz w:val="24"/>
        </w:rPr>
        <w:t>同工况机群相对偏差</w:t>
      </w:r>
      <w:r>
        <w:rPr>
          <w:rFonts w:ascii="Times New Roman" w:hAnsi="Times New Roman" w:eastAsia="宋体"/>
          <w:b w:val="0"/>
          <w:color w:val="000000"/>
          <w:sz w:val="24"/>
        </w:rPr>
        <w:t>：按发电态与功率档分组，对每一测点取机群中位数，再按偏差与稳健尺度分档；分档结论只能是候选、记基线观察或不可判，判为「不偏离机群」不等于该机组正常。另有配对差判据（同一台机组的两个相近测点相减）用于区分局部摩擦与测量偏差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3.1.6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3-6　</w:t>
      </w:r>
      <w:r>
        <w:rPr>
          <w:rFonts w:ascii="Times New Roman" w:hAnsi="Times New Roman" w:eastAsia="宋体"/>
          <w:b/>
          <w:color w:val="000000"/>
          <w:sz w:val="21"/>
        </w:rPr>
        <w:t>表 3-6 10 分钟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偏航液压系统压力的十分钟平均值，是偏航面判级的主输入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区间内偏航动作次数的累计，是偏航负载与磨损剂量的分母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偏航润滑泵在区间内的通电时长，是偏航润滑占空比的直接量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机舱相对基准的方位角，用于偏航位置与扇区分析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偏航电机在区间内顺时针方向的累计动作时长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偏航电机在区间内逆时针方向的累计动作时长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电缆扭转角度，用于解缆与扭缆保护分析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标识机组当前处于自动解缆过程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3.1.7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3-7　</w:t>
      </w:r>
      <w:r>
        <w:rPr>
          <w:rFonts w:ascii="Times New Roman" w:hAnsi="Times New Roman" w:eastAsia="宋体"/>
          <w:b/>
          <w:color w:val="000000"/>
          <w:sz w:val="21"/>
        </w:rPr>
        <w:t>表 3-7 10 分钟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液压站压力均值，是蓄能面判级的主输入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润滑柱塞在区间内的通电时长，是润滑动作剂量的直接量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齿轮箱润滑油入口压力，用于润滑供给是否正常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主滤芯入口压力，与主滤后压力之差为滤芯压差（物理应不小于零）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主滤芯出口压力，用于滤芯压差与堵塞判断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旁路过滤回路压力，用于旁路过滤效率判断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叶片变桨液压缸压力，用于变桨液压供给与桨叶间比较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机械制动液压压力，用于制动系统可用性判断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怠速（备用）泵的液压压力均值与极值，用于备用液压回路供给是否正常的判据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液压与变桨阀组供电电压的均值与极值，用于阀驱动的电气可用性判据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桨叶油压与液压站压力类测点可能出现负值越界，必须按物理界转为缺失，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3.1.8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3-8　</w:t>
      </w:r>
      <w:r>
        <w:rPr>
          <w:rFonts w:ascii="Times New Roman" w:hAnsi="Times New Roman" w:eastAsia="宋体"/>
          <w:b/>
          <w:color w:val="000000"/>
          <w:sz w:val="21"/>
        </w:rPr>
        <w:t>表 3-8 10 分钟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相电流，用于三相平衡度与电气异常分析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相电压，用于电压偏差与失压事件分析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并网点频率，用于电网事件与脱网分析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有功功率质量标志的区间期末值，用于电能质量与有效功率口径核对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电网类测点中的零值可能合法且具有诊断意义（例如全失压事件），是否把零值当无效必须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与现场确认，不得统一设为零值哨兵。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3.1.9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3-9　</w:t>
      </w:r>
      <w:r>
        <w:rPr>
          <w:rFonts w:ascii="Times New Roman" w:hAnsi="Times New Roman" w:eastAsia="宋体"/>
          <w:b/>
          <w:color w:val="000000"/>
          <w:sz w:val="21"/>
        </w:rPr>
        <w:t>表 3-9 10 分钟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机组主状态与故障码；无故障主态与停机码、发电中信息码必须按码表区分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反映机组处于发电态或停机态的状态位，用于停机态交叉判据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以位域表示的机组运行状态字，其逐位含义必须由现场图纸释义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机组子状态的分组标识，用于细分停机与维护状态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场控或主控下发的有功功率设定值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以额定功率百分比形式下发的限电给定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降载控制生效后的反馈功率，用于降载控制闭环核对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可用率（机内统计）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机组内部统计的可用率，口径必须与统计类数据保持一致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快速复位（FRS）安全链错误标志的区间期末值，用于安全链可用性与误动判据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转矩与载荷控制（TLC）状态的区间期末值与区间接通时长，用于降载策略是否生效的判据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一次风速计通道投入（激活）标志的区间期末值，用于测风链路主备切换判据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标识机组当前处于本地（就地）控制还是远程控制，用于控制权归属核对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自动启动条件满足标志的区间期末值，用于自动启停机逻辑核对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风速变化率（风突变）标志的区间动作次数、期末值与接通时长三种口径，用于阵风与载荷事件判据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区间内启动次数的计数增量，用于启停剂量与可靠性统计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运行与停机指示灯状态的区间期末值，用于就地状态指示与运行状态位互证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功率提升（Boost）功能的可用标志，用于增发能力与考核口径核对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功率提升（Boost）功能的激活标志，用于识别增发时段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控制器自身的当前时间（机组时钟）区间期末值，用于机组时钟与统一时间基准的偏差核对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3.1.10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3-10　</w:t>
      </w:r>
      <w:r>
        <w:rPr>
          <w:rFonts w:ascii="Times New Roman" w:hAnsi="Times New Roman" w:eastAsia="宋体"/>
          <w:b/>
          <w:color w:val="000000"/>
          <w:sz w:val="21"/>
        </w:rPr>
        <w:t>表 3-10 10 分钟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风速故障计数（第一路）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第一路风速量测的故障累计计数，用于测风链路健康度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风速故障计数（第二路）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自并网起的累计运行时长，用于运行小时账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自并网起的累计发电时长，用于发电小时账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区间内故障停机时长，用于停机账与可利用率核算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区间内电网原因停机时长，用于责任剥离口径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主控统计的通信类外部错误小时，用于责任剥离与停机归因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主控统计的环境类外部错误小时，用途同上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主控统计的电网类外部错误小时，用途同上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主控统计的机组类外部错误小时，用途同上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机组处于可运行（OK）状态的小时累计，是可利用率分子侧的核对量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机组处于可用状态的小时累计，用于可利用率闭合核对与统计口径互证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发电机累计运行小时数，用于部件寿命评估与运行强度分箱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停机小时按停机类、非停机类与其他三类口径分列提交，用于停机账与可利用率分母核对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部件已运行寿命的小时累计，用于寿命评估与更换窗口判断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部件剩余寿命的小时数，用于寿命评估与更换窗口判断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功率提升（Boost）功能带来的增发电量累计，用于增发收益口径核对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数据链路接收时刻的秒计数，用于通讯监视与链路中断判据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计数与统计类中沿用现场名称的「小时」账目，度量单位写小时（h）；若源件以秒提交，必须在提交说明中写明换算关系（1 h = 3600 s）。若源件以分钟提交，同样必须写明。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3.1.11 数字输入与安全链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本域登记安全链、消防与环境分级的开关量测点。开关量一律按三种口径提交：区间动作次数、区间期末值、区间接通时长；三种口径必须在提交说明中分别指明，缺哪一种口径就按缺列如实登记。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3-11　</w:t>
      </w:r>
      <w:r>
        <w:rPr>
          <w:rFonts w:ascii="Times New Roman" w:hAnsi="Times New Roman" w:eastAsia="宋体"/>
          <w:b/>
          <w:color w:val="000000"/>
          <w:sz w:val="21"/>
        </w:rPr>
        <w:t>表 3-11 10 分钟 SCADA 的数字输入与安全链测点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机舱消防烟雾探测的开关量，三种口径齐备，是消防与安全链的判据输入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塔筒（塔底）消防烟雾探测的开关量，三种口径齐备，用途同上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急停回路输入的开关量，三种口径齐备，用于急停按钮与安全链动作核对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外部停机指令输入的开关量，三种口径齐备，用于区分场级指令停机与机组自身停机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不间断电源（UPS）处于旁路运行的开关量，三种口径齐备，是电源可用性判据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不间断电源（UPS）输入电源故障的开关量，三种口径齐备，用途同上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不间断电源（UPS）电池电压低的开关量，三种口径齐备，用于后备电源能力判据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齿轮箱油位开关的开关量，三种口径齐备，用于润滑供给与油位异常判据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液压站油位开关的开关量，三种口径齐备，用于液压油量异常判据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液压滤芯压差开关的开关量，三种口径齐备，用于滤芯堵塞判据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接地刀闸闭合状态的开关量，三种口径齐备，是检修接地与安全链状态的直接依据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接地刀闸打开状态的开关量，三种口径齐备，与闭合状态互证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海上环境能见度分级的三个开关量，三种口径齐备，用于环境条件分级与作业窗口判断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3.1.12 执行器命令与热管理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执行器命令类测点。同一执行器的「区间动作次数」与「区间接通时长」两种口径合写为一条测点：业务含义里写明两种口径，度量单位一并给出，提交时必须能分辨哪一列是次数、哪一列是时长。本域测点用于执行器占空比、热管理与冷却回路的交叉核对，不单独构成判级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3-12　</w:t>
      </w:r>
      <w:r>
        <w:rPr>
          <w:rFonts w:ascii="Times New Roman" w:hAnsi="Times New Roman" w:eastAsia="宋体"/>
          <w:b/>
          <w:color w:val="000000"/>
          <w:sz w:val="21"/>
        </w:rPr>
        <w:t>表 3-12 10 分钟 SCADA 的执行器命令与热管理测点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变桨液压泵的执行命令，含区间动作次数与区间接通时长两种口径，用于变桨液压供给与占空比分析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变桨液压旁路阀的执行命令，含两种口径，用于变桨液压回路切换分析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怠速阀的执行命令，含两种口径，用于怠速回路动作分析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齿轮箱油冷却旁路阀的执行命令，含两种口径，用于冷却回路切换与温控分析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齿轮箱高速级冷却器的执行命令，含两种口径，用于冷却能力与温控分析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齿轮箱低速级冷却器的执行命令，含两种口径，用途同上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齿轮箱加热器的执行命令，含两种口径，用于低温启动与油温维持分析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齿轮箱高速级油泵的执行命令，含两种口径，用于润滑供给与占空比分析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齿轮箱低速级油泵的执行命令，含两种口径，用途同上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发电机加热器的执行命令，含两种口径，用于防凝露与绝缘保护分析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发电机润滑泵的执行命令，含两种口径，用于发电机轴承润滑剂量核对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主轴承润滑泵的执行命令，含两种口径，用于主轴承润滑剂量核对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风向标加热器的执行命令，含两种口径，用于测风链路结冰与可用性分析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变流器脉冲宽度调制（PWM）使能命令，含两种口径，用于变流器可用性判据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安全顺桨执行指令，含两种口径，用于安全链动作与顺桨到位核对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轮毂侧安全顺桨（安全链）动作，含两种口径，是安全链动作的直接证据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不间断电源（UPS）关机指令，含两种口径，用于电源管理动作核对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机组可运行（OK）指令，含两种口径，用于机组可用性链路核对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变流器柜通风的执行命令，含两种口径，用于柜内热环境与散热分析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秒级 SCADA 高频数据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：本版新增的重点要求。10 分钟数据是统计与判级的主层，但它</w:t>
      </w:r>
      <w:r>
        <w:rPr>
          <w:rFonts w:ascii="Times New Roman" w:hAnsi="Times New Roman" w:eastAsia="宋体"/>
          <w:b/>
          <w:color w:val="000000"/>
          <w:sz w:val="24"/>
        </w:rPr>
        <w:t>看不见</w:t>
      </w:r>
      <w:r>
        <w:rPr>
          <w:rFonts w:ascii="Times New Roman" w:hAnsi="Times New Roman" w:eastAsia="宋体"/>
          <w:b w:val="0"/>
          <w:color w:val="000000"/>
          <w:sz w:val="24"/>
        </w:rPr>
        <w:t>启停瞬间、限电指令响应、故障前的过程量与振动关联。秒级数据是唯一能支撑瞬态分析、启停过程分析、限电响应分析与振动工况标注的输入，也是与故障录波、机舱振动数据配合的公共时间基准。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本节「必须」的含义</w:t>
      </w:r>
      <w:r>
        <w:rPr>
          <w:rFonts w:ascii="Times New Roman" w:hAnsi="Times New Roman" w:eastAsia="宋体"/>
          <w:b w:val="0"/>
          <w:color w:val="000000"/>
          <w:sz w:val="24"/>
        </w:rPr>
        <w:t>：一旦现场提交秒级数据，下表标注「必须」的测点必须全部包含在其中；若现场暂不提交秒级数据，则按第 6 章的分档以分钟级转发层顶替，此时本节的「必须」测点转为对顶替件的要求。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 采样频率、统计时长与范围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采样频率</w:t>
      </w:r>
      <w:r>
        <w:rPr>
          <w:rFonts w:ascii="Times New Roman" w:hAnsi="Times New Roman" w:eastAsia="宋体"/>
          <w:b w:val="0"/>
          <w:color w:val="000000"/>
          <w:sz w:val="24"/>
        </w:rPr>
        <w:t>：1 秒至 30 秒之间；现场必须在提交说明中明确实际频率，不得以「约」「大致」表述，也不得以分钟级数据冒充秒级数据。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统计时长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：至少 </w:t>
      </w:r>
      <w:r>
        <w:rPr>
          <w:rFonts w:ascii="Times New Roman" w:hAnsi="Times New Roman" w:eastAsia="宋体"/>
          <w:b/>
          <w:color w:val="000000"/>
          <w:sz w:val="24"/>
        </w:rPr>
        <w:t>3 个月</w:t>
      </w:r>
      <w:r>
        <w:rPr>
          <w:rFonts w:ascii="Times New Roman" w:hAnsi="Times New Roman" w:eastAsia="宋体"/>
          <w:b w:val="0"/>
          <w:color w:val="000000"/>
          <w:sz w:val="24"/>
        </w:rPr>
        <w:t>，且必须连续；不得用零散时段拼接成 3 个月。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范围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全场机组（按场实际台数）、全测点</w:t>
      </w:r>
      <w:r>
        <w:rPr>
          <w:rFonts w:ascii="Times New Roman" w:hAnsi="Times New Roman" w:eastAsia="宋体"/>
          <w:b w:val="0"/>
          <w:color w:val="000000"/>
          <w:sz w:val="24"/>
        </w:rPr>
        <w:t>；逐台一份，一行一个时间戳。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：逐台一张表，一行一个时间戳；时间戳统一为「年-月-日 时:分:秒」的本地时刻；同一场的两侧（秒级表与 10 分钟表）必须采用同一时间约定；一律按列名读取，禁用位置索引。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附加要求</w:t>
      </w:r>
      <w:r>
        <w:rPr>
          <w:rFonts w:ascii="Times New Roman" w:hAnsi="Times New Roman" w:eastAsia="宋体"/>
          <w:b w:val="0"/>
          <w:color w:val="000000"/>
          <w:sz w:val="24"/>
        </w:rPr>
        <w:t>：源件的无效值（哨兵值）清单必须随件给出；量化步长与有效位数必须逐列说明。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3.2.2 与 10 分钟数据的分工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3-13　</w:t>
      </w:r>
      <w:r>
        <w:rPr>
          <w:rFonts w:ascii="Times New Roman" w:hAnsi="Times New Roman" w:eastAsia="宋体"/>
          <w:b/>
          <w:color w:val="000000"/>
          <w:sz w:val="21"/>
        </w:rPr>
        <w:t>表 3-13 秒级数据与 10 分钟数据的分工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用途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秒级数据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10 分钟数据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统计与判级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不直接用于统计判级；可作为瞬态证据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统计、判级、月度轨迹与曲线的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主输入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启停过程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唯一可用：从并网到满发的全过程量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只能给出区间结果，看不见过程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限电与功率给定响应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唯一可用：给定与反馈的跟随过程与超调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只能给出给定与反馈的区间取值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振动与工况关联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唯一可用：为每个振动窗标注同期转速、功率与桨距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只能提供同工况的统计分箱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可算秒级风速标准差与阵风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可算区间风速标准差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大，按需保留时间窗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小，长期保留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分工的硬要求：</w:t>
      </w:r>
      <w:r>
        <w:rPr>
          <w:rFonts w:ascii="Times New Roman" w:hAnsi="Times New Roman" w:eastAsia="宋体"/>
          <w:b/>
          <w:color w:val="000000"/>
          <w:sz w:val="24"/>
        </w:rPr>
        <w:t>能用 10 分钟数据做的统计与判级不得改用秒级数据</w:t>
      </w:r>
      <w:r>
        <w:rPr>
          <w:rFonts w:ascii="Times New Roman" w:hAnsi="Times New Roman" w:eastAsia="宋体"/>
          <w:b w:val="0"/>
          <w:color w:val="000000"/>
          <w:sz w:val="24"/>
        </w:rPr>
        <w:t>（避免口径漂移）；</w:t>
      </w:r>
      <w:r>
        <w:rPr>
          <w:rFonts w:ascii="Times New Roman" w:hAnsi="Times New Roman" w:eastAsia="宋体"/>
          <w:b/>
          <w:color w:val="000000"/>
          <w:sz w:val="24"/>
        </w:rPr>
        <w:t>只有秒级能做的瞬态与关联分析不得用 10 分钟数据替代</w:t>
      </w:r>
      <w:r>
        <w:rPr>
          <w:rFonts w:ascii="Times New Roman" w:hAnsi="Times New Roman" w:eastAsia="宋体"/>
          <w:b w:val="0"/>
          <w:color w:val="000000"/>
          <w:sz w:val="24"/>
        </w:rPr>
        <w:t>（避免把过程量当成区间量）。两侧同时提交时，同一测点的物理量必须在同一时刻可对齐，且单位与量纲一致。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3.2.3 与故障录波、机舱振动数据的配合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与故障录波配合</w:t>
      </w:r>
      <w:r>
        <w:rPr>
          <w:rFonts w:ascii="Times New Roman" w:hAnsi="Times New Roman" w:eastAsia="宋体"/>
          <w:b w:val="0"/>
          <w:color w:val="000000"/>
          <w:sz w:val="24"/>
        </w:rPr>
        <w:t>：故障录波给出故障触发前后一段时间的高分辨率通道快照；秒级数据给出同期的全场运行量。两者的时间基准必须一致，录波触发时刻必须能与秒级时间戳逐值对齐；录波未覆盖的通道，可以用同期秒级数据补齐过程描述，但</w:t>
      </w:r>
      <w:r>
        <w:rPr>
          <w:rFonts w:ascii="Times New Roman" w:hAnsi="Times New Roman" w:eastAsia="宋体"/>
          <w:b/>
          <w:color w:val="000000"/>
          <w:sz w:val="24"/>
        </w:rPr>
        <w:t>必须标注来源不同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与机舱振动数据配合</w:t>
      </w:r>
      <w:r>
        <w:rPr>
          <w:rFonts w:ascii="Times New Roman" w:hAnsi="Times New Roman" w:eastAsia="宋体"/>
          <w:b w:val="0"/>
          <w:color w:val="000000"/>
          <w:sz w:val="24"/>
        </w:rPr>
        <w:t>：每一次振动测量记录都必须能配上同期的秒级工况（转速、有功功率、桨距角、风速），用于工况分箱与同工况比较；振动报警事件必须能回查到同期的秒级工况序列，否则该报警只能作为孤立记录、不能进入因果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三者的时间窗要求</w:t>
      </w:r>
      <w:r>
        <w:rPr>
          <w:rFonts w:ascii="Times New Roman" w:hAnsi="Times New Roman" w:eastAsia="宋体"/>
          <w:b w:val="0"/>
          <w:color w:val="000000"/>
          <w:sz w:val="24"/>
        </w:rPr>
        <w:t>：三个来源的时间窗必须至少重叠一个完整的分析时间窗；重叠区必须显式记录起止，不得默认「按上报时段」推定重叠。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3.2.4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3-14　</w:t>
      </w:r>
      <w:r>
        <w:rPr>
          <w:rFonts w:ascii="Times New Roman" w:hAnsi="Times New Roman" w:eastAsia="宋体"/>
          <w:b/>
          <w:color w:val="000000"/>
          <w:sz w:val="21"/>
        </w:rPr>
        <w:t>表 3-14 秒级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秒级有功功率，用于启停瞬态、限电响应与振动工况标注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主控或场控下发的有功给定，用于给定与反馈的跟随分析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秒级无功功率，用于电压支撑瞬态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主控下发的发电机转矩给定（扭矩设定值），用于转矩控制跟随与降载策略分析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3.2.5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3-15　</w:t>
      </w:r>
      <w:r>
        <w:rPr>
          <w:rFonts w:ascii="Times New Roman" w:hAnsi="Times New Roman" w:eastAsia="宋体"/>
          <w:b/>
          <w:color w:val="000000"/>
          <w:sz w:val="21"/>
        </w:rPr>
        <w:t>表 3-15 秒级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机舱风速计的秒级风速，用于阵风与湍流分析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独立风速计的秒级风速，用于风速互证与瞬态比较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秒级窗口内风速的标准差，是阵风与湍流度分析的基础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机舱风向标的秒级风向，用于对风瞬态分析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机舱风向与机舱方位之差，用于对风偏差的秒级过程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机舱内部相对湿度的秒级值，用于凝露风险的瞬态判断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塔架一阶频率的秒级估计值，用于结构共振的瞬态核对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3.2.6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3-16　</w:t>
      </w:r>
      <w:r>
        <w:rPr>
          <w:rFonts w:ascii="Times New Roman" w:hAnsi="Times New Roman" w:eastAsia="宋体"/>
          <w:b/>
          <w:color w:val="000000"/>
          <w:sz w:val="21"/>
        </w:rPr>
        <w:t>表 3-16 秒级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秒级发电机转速，用于启停与超速瞬态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主传动轴转速；若现场不单独测量则本项不列，由叶轮转速代替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秒级叶轮转速，用于叶尖速比与振动阶次跟踪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3.2.7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3-17　</w:t>
      </w:r>
      <w:r>
        <w:rPr>
          <w:rFonts w:ascii="Times New Roman" w:hAnsi="Times New Roman" w:eastAsia="宋体"/>
          <w:b/>
          <w:color w:val="000000"/>
          <w:sz w:val="21"/>
        </w:rPr>
        <w:t>表 3-17 秒级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号叶片桨距角的秒级值，用于变桨瞬态与三叶一致性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三叶桨距角最大值与最小值之差，是三叶一致性与变桨不同步的直接判据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变桨系统接收的三叶桨距角给定，用于跟随误差与卡涩识别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秒级变桨电机电流，用于变桨负载与卡涩识别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号变桨电机的测点温度，用于变桨驱动热状态与三叶比较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3.2.8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3-18　</w:t>
      </w:r>
      <w:r>
        <w:rPr>
          <w:rFonts w:ascii="Times New Roman" w:hAnsi="Times New Roman" w:eastAsia="宋体"/>
          <w:b/>
          <w:color w:val="000000"/>
          <w:sz w:val="21"/>
        </w:rPr>
        <w:t>表 3-18 秒级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U 相绕组温度，用于三相极差与热瞬态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发电机驱动端轴承温度，用于配对差与瞬态温升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齿轮箱润滑油温度，用于瞬态热行为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机舱内部温度，用于热环境判断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机舱外部环境温度，用于空气密度与热汇口径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液压站油温，用于液压瞬态热行为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3.2.9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3-19　</w:t>
      </w:r>
      <w:r>
        <w:rPr>
          <w:rFonts w:ascii="Times New Roman" w:hAnsi="Times New Roman" w:eastAsia="宋体"/>
          <w:b/>
          <w:color w:val="000000"/>
          <w:sz w:val="21"/>
        </w:rPr>
        <w:t>表 3-19 秒级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机舱的秒级方位角，用于偏航动作过程与扇区分析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秒级偏航误差，用于对风控制品质判断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秒级偏航液压压力，用于偏航瞬态与建压过程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秒级电缆扭转角度，用于解缆过程分析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标识机组当前是否正在偏航动作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标识当前偏航动作方向（顺时针或逆时针）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3.2.10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3-20　</w:t>
      </w:r>
      <w:r>
        <w:rPr>
          <w:rFonts w:ascii="Times New Roman" w:hAnsi="Times New Roman" w:eastAsia="宋体"/>
          <w:b/>
          <w:color w:val="000000"/>
          <w:sz w:val="21"/>
        </w:rPr>
        <w:t>表 3-20 秒级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秒级液压站压力，用于建压、保压与泄压过程分析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蓄能器的液压储能压力，用于储能衰减与建压时间判断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润滑柱塞动作状态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润滑柱塞的动作状态与通电时长，用于润滑剂量核对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秒级机械制动液压压力，用于制动投入过程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备用（怠速）泵的液压压力，用于备用液压回路供给与建压过程判断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3.2.11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3-21　</w:t>
      </w:r>
      <w:r>
        <w:rPr>
          <w:rFonts w:ascii="Times New Roman" w:hAnsi="Times New Roman" w:eastAsia="宋体"/>
          <w:b/>
          <w:color w:val="000000"/>
          <w:sz w:val="21"/>
        </w:rPr>
        <w:t>表 3-21 秒级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相电流，用于暂态电流与不平衡分析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相电压，用于电压暂降与失压过程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秒级频率，用于频率事件与脱网过程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3.2.12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3-22　</w:t>
      </w:r>
      <w:r>
        <w:rPr>
          <w:rFonts w:ascii="Times New Roman" w:hAnsi="Times New Roman" w:eastAsia="宋体"/>
          <w:b/>
          <w:color w:val="000000"/>
          <w:sz w:val="21"/>
        </w:rPr>
        <w:t>表 3-22 秒级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以位或枚举表示的运行状态，须能区分发电、停机、维护、限电等状态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机组主状态与故障码，用于状态迁移与事件对齐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故障标志字（位掩码）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场控下发的限电指令序列（含单机挂靠区间）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标识机组当前是否并网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停机时刻对应的原因码，用于停机账归因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航空障碍灯状态的秒级值，用于就地指示与安全标识核对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接地刀闸闭合状态的秒级值，是检修接地与安全链状态的直接依据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接地刀闸打开状态的秒级值，与闭合状态互证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3.2.13 振动触发量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3-23　</w:t>
      </w:r>
      <w:r>
        <w:rPr>
          <w:rFonts w:ascii="Times New Roman" w:hAnsi="Times New Roman" w:eastAsia="宋体"/>
          <w:b/>
          <w:color w:val="000000"/>
          <w:sz w:val="21"/>
        </w:rPr>
        <w:t>表 3-23 秒级 SCADA 的振动触发量测点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机舱振动（纵向）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机舱纵向振动量，用于振动触发与机舱—塔架耦合分析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机舱振动（横向）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机舱横向振动量，用途同上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机舱振动（垂向）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机舱垂向振动量，用途同上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塔架前后向摆动量，用于结构瞬态与共振分析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传动链（齿轮箱、发电机）加速度振动触发量；若由独立的振动监测链路提供则不重复列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3.2.14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3-24　</w:t>
      </w:r>
      <w:r>
        <w:rPr>
          <w:rFonts w:ascii="Times New Roman" w:hAnsi="Times New Roman" w:eastAsia="宋体"/>
          <w:b/>
          <w:color w:val="000000"/>
          <w:sz w:val="21"/>
        </w:rPr>
        <w:t>表 3-24 秒级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秒级偏航动作计数增量，用于偏航剂量的高分辨率统计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秒级运行计时增量，用于运行小时账的高分辨率核对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秒级电量增量，用于启停过程的电量细分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测风塔数据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：自由流风速与湍流度的场级参考，是功率曲线与尾流分析的独立外部锚，不参与机组级判级。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：前期实地测风数据必须与可研报告的时间一致，且</w:t>
      </w:r>
      <w:r>
        <w:rPr>
          <w:rFonts w:ascii="Times New Roman" w:hAnsi="Times New Roman" w:eastAsia="宋体"/>
          <w:b/>
          <w:color w:val="000000"/>
          <w:sz w:val="24"/>
        </w:rPr>
        <w:t>至少满一年</w:t>
      </w:r>
      <w:r>
        <w:rPr>
          <w:rFonts w:ascii="Times New Roman" w:hAnsi="Times New Roman" w:eastAsia="宋体"/>
          <w:b w:val="0"/>
          <w:color w:val="000000"/>
          <w:sz w:val="24"/>
        </w:rPr>
        <w:t>，采样频率 5 分钟或 15 分钟；运行期数据为</w:t>
      </w:r>
      <w:r>
        <w:rPr>
          <w:rFonts w:ascii="Times New Roman" w:hAnsi="Times New Roman" w:eastAsia="宋体"/>
          <w:b/>
          <w:color w:val="000000"/>
          <w:sz w:val="24"/>
        </w:rPr>
        <w:t>一整年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的分钟级数据。若分钟级数据不具备风速标准差，则必须按采样频率 </w:t>
      </w:r>
      <w:r>
        <w:rPr>
          <w:rFonts w:ascii="Times New Roman" w:hAnsi="Times New Roman" w:eastAsia="宋体"/>
          <w:b/>
          <w:color w:val="000000"/>
          <w:sz w:val="24"/>
        </w:rPr>
        <w:t>1 秒</w:t>
      </w:r>
      <w:r>
        <w:rPr>
          <w:rFonts w:ascii="Times New Roman" w:hAnsi="Times New Roman" w:eastAsia="宋体"/>
          <w:b w:val="0"/>
          <w:color w:val="000000"/>
          <w:sz w:val="24"/>
        </w:rPr>
        <w:t>提交一整年的数据，测点为温度、湿度、气压、不同层高的风速与风向。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：逐层高一张表或一张表内含层高标识，一行一个时间戳；层高必须显式给出。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3-25　</w:t>
      </w:r>
      <w:r>
        <w:rPr>
          <w:rFonts w:ascii="Times New Roman" w:hAnsi="Times New Roman" w:eastAsia="宋体"/>
          <w:b/>
          <w:color w:val="000000"/>
          <w:sz w:val="21"/>
        </w:rPr>
        <w:t>表 3-25 测风塔数据的测点清单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各层高气温，用于空气密度折算与结冰判断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相对湿度，用于空气密度折算与结冰判断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大气压力，用于空气密度折算与风廓线修正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各测量层高的水平风速，是自由流风速与风廓线的直接输入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各测量层高的风向，用于风向玫瑰与扇区分析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每个测点所处的高度层，用于风廓线与切变计算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各层高风速的标准差，是湍流度的直接输入；分钟级数据不具备时必须用 1 秒采样替代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数据有效标志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标识该时刻各通道数据是否有效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3.4 功率曲线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：发电性能偏差判别的基准，也是合同指标对标的基准。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：标准空气密度功率曲线与合同担保功率曲线各一条，覆盖切入至切出风速段；担保曲线的附属条件与保证条款必须同时给出。曲线</w:t>
      </w:r>
      <w:r>
        <w:rPr>
          <w:rFonts w:ascii="Times New Roman" w:hAnsi="Times New Roman" w:eastAsia="宋体"/>
          <w:b/>
          <w:color w:val="000000"/>
          <w:sz w:val="24"/>
        </w:rPr>
        <w:t>不得只给图片</w:t>
      </w:r>
      <w:r>
        <w:rPr>
          <w:rFonts w:ascii="Times New Roman" w:hAnsi="Times New Roman" w:eastAsia="宋体"/>
          <w:b w:val="0"/>
          <w:color w:val="000000"/>
          <w:sz w:val="24"/>
        </w:rPr>
        <w:t>；若只有图片，必须描点提取为数值表。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：一个数值表，两列：风速、功率；附属条件与保证条款用一张说明表。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3-26　</w:t>
      </w:r>
      <w:r>
        <w:rPr>
          <w:rFonts w:ascii="Times New Roman" w:hAnsi="Times New Roman" w:eastAsia="宋体"/>
          <w:b/>
          <w:color w:val="000000"/>
          <w:sz w:val="21"/>
        </w:rPr>
        <w:t>表 3-26 功率曲线的测点清单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标准空气密度条件下的风速与功率成对点，是发电性能绝对偏差的基准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合同保证的可用率下限及其考核口径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曲线是否含尾流、是否按空气密度归一、是否按湍流度分段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3.5 机型参数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：机型常量是振动的分母、功率曲线的基准、控制参数的参照；缺则振动阶次定位与曲线基准不可复核。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：一份机型级参数表，逐项给出下表全部必须项。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：一个参数表，两列：参数、取值与单位。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3-27　</w:t>
      </w:r>
      <w:r>
        <w:rPr>
          <w:rFonts w:ascii="Times New Roman" w:hAnsi="Times New Roman" w:eastAsia="宋体"/>
          <w:b/>
          <w:color w:val="000000"/>
          <w:sz w:val="21"/>
        </w:rPr>
        <w:t>表 3-27 机型参数的测点清单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机型标识，用于机型级常量与字段契约的对应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传动拓扑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传动形式与是否含齿轮箱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集中变桨或独立变桨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单机额定有功功率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叶轮扫风直径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轮毂中心高度，其构成（塔筒、基础平台）必须写明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顺桨位置角度范围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机组设计生存环境温度范围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齿轮箱形式与型号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齿轮箱级数、型号与润滑油量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液压系统设计运行压力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塔筒段数与基础形式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3.6 机位分布数据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：邻域与尾流先验、扇区分析、台号与集电线路的地理对照。坐标</w:t>
      </w:r>
      <w:r>
        <w:rPr>
          <w:rFonts w:ascii="Times New Roman" w:hAnsi="Times New Roman" w:eastAsia="宋体"/>
          <w:b/>
          <w:color w:val="000000"/>
          <w:sz w:val="24"/>
        </w:rPr>
        <w:t>不可自算</w:t>
      </w:r>
      <w:r>
        <w:rPr>
          <w:rFonts w:ascii="Times New Roman" w:hAnsi="Times New Roman" w:eastAsia="宋体"/>
          <w:b w:val="0"/>
          <w:color w:val="000000"/>
          <w:sz w:val="24"/>
        </w:rPr>
        <w:t>，必须由现场实体提交。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：逐台坐标、海拔（含轮毂高度）与机型，另加升压站。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：一个逐台表，一行一台机组，列含台号标识、经度、纬度、海拔、轮毂高度、机型、集电线路归属。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3-28　</w:t>
      </w:r>
      <w:r>
        <w:rPr>
          <w:rFonts w:ascii="Times New Roman" w:hAnsi="Times New Roman" w:eastAsia="宋体"/>
          <w:b/>
          <w:color w:val="000000"/>
          <w:sz w:val="21"/>
        </w:rPr>
        <w:t>表 3-28 机位分布数据的测点清单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逐台机组标识，用于与各类源件的台号对照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海拔高度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机位地面海拔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机位轮毂中心高度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机组机型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该机位所属机型，混排场必须逐台给出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集电线路归属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该机位所属集电线路（串），用于邻域与分组分析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升压站坐标与海拔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升压站位置与海拔，用于场级参考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3.7 机组状态、事件、故障、告警数据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：报警台账、停机账、限电绑定、首发链、检修工单台账与闭环验证。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：覆盖分析时间窗的故障码表、状态码表及其说明，另加逐条故障记录、事件记录与告警记录。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：一套代码表（两列：代码、说明）加逐条记录表；每条记录一行，必须带激活时刻与代码列。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3-29　</w:t>
      </w:r>
      <w:r>
        <w:rPr>
          <w:rFonts w:ascii="Times New Roman" w:hAnsi="Times New Roman" w:eastAsia="宋体"/>
          <w:b/>
          <w:color w:val="000000"/>
          <w:sz w:val="21"/>
        </w:rPr>
        <w:t>表 3-29 状态、事件、故障、告警数据的测点清单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报警或事件的激活时间戳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报警或事件的复位时间戳；尚未闭合的必须显式留空，不得填零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由激活与复位时刻得到的区间时长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标识该条记录属于告警区间账、瞬时事件还是停机状态账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标识记录来源（机组本体、远程操作、场控系统）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标识记录所属对象（机组或场级）；机组分析必须先按此过滤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报警码，必须同时给出其所属命名空间（不同命名空间的码不得混判）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故障码与状态码的中文说明及其分类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辅助参数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随码值携带的辅助文本（定宽右填时必须先去空格）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记录来源通道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该条记录的采集来源或写入者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首发标识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同一停机链的首条事件标识；源件不提供时必须说明，并由本系统按登记口径自算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责任方分类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故障责任归属的分类口径与枚举含义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3.8 机舱 CMS 振动数据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：振动侧的</w:t>
      </w:r>
      <w:r>
        <w:rPr>
          <w:rFonts w:ascii="Times New Roman" w:hAnsi="Times New Roman" w:eastAsia="宋体"/>
          <w:b/>
          <w:color w:val="000000"/>
          <w:sz w:val="24"/>
        </w:rPr>
        <w:t>唯一可重算源件</w:t>
      </w:r>
      <w:r>
        <w:rPr>
          <w:rFonts w:ascii="Times New Roman" w:hAnsi="Times New Roman" w:eastAsia="宋体"/>
          <w:b w:val="0"/>
          <w:color w:val="000000"/>
          <w:sz w:val="24"/>
        </w:rPr>
        <w:t>。振动索引、谱库、部件状态评估、在升与换件闭环、机群基线都由它算。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至少一个季度</w:t>
      </w:r>
      <w:r>
        <w:rPr>
          <w:rFonts w:ascii="Times New Roman" w:hAnsi="Times New Roman" w:eastAsia="宋体"/>
          <w:b w:val="0"/>
          <w:color w:val="000000"/>
          <w:sz w:val="24"/>
        </w:rPr>
        <w:t>的秒级振动数据（非加密）与原始振动时域波形；测点须覆盖主轴、齿轮箱、发电机与叶轮转速。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：逐次测量一条记录，记录内含测点、测量类型、时间戳、转速、波形或谱数据；另附厂家的振动评估与确诊结论。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：振动加速度 m/s²、振动速度 m/s、无量纲指标无单位、转速 r/min、频率 Hz、时长 s、灵敏度 mV/g。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3-30　</w:t>
      </w:r>
      <w:r>
        <w:rPr>
          <w:rFonts w:ascii="Times New Roman" w:hAnsi="Times New Roman" w:eastAsia="宋体"/>
          <w:b/>
          <w:color w:val="000000"/>
          <w:sz w:val="21"/>
        </w:rPr>
        <w:t>表 3-30 机舱 CMS 振动数据的测点清单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齿轮箱行星级测点振动，用于行星级啮合状态评估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齿轮箱中间轴测点振动，用于中间轴与轴承状态评估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采集系统自身的运行与存储占用监视量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振动测量同步记录的转速，是叶轮转频与阶次跟踪的分母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加速度或速度的原始时域波形，用于重算谱与故障回溯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各测点的自谱与包络谱，用于特征频率比对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峰值、有效值、峭度、峰值因子等标量指标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谱线的频率分辨率与分析带宽，是特征频率能否分辨的前提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传感器灵敏度，用于量纲换算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红、黄、蓝各级报警阈值与迟滞设置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每次测量所属的功率或转速分箱，用于同工况比较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测量类型与测量名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每次测量的类型与名称（自谱、包络谱、时域波形等）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厂家评估结论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厂家出具的振动评估与确诊结论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3.8.1 采集参数与溯源要求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清单只登记了振动实体测点；下列采集参数与溯源字段是振动数据可复核、可追溯、可重算的前提：没有键相或转速脉冲就无法做阶次跟踪与转频归一，没有采样频率与窗函数就无法复核谱口径，没有序列号与配置信息就无法追溯测量条件。因此本小节与测点清单同为机舱 CMS 振动数据的收资要求，缺项同样按缺列如实登记。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3-31　</w:t>
      </w:r>
      <w:r>
        <w:rPr>
          <w:rFonts w:ascii="Times New Roman" w:hAnsi="Times New Roman" w:eastAsia="宋体"/>
          <w:b/>
          <w:color w:val="000000"/>
          <w:sz w:val="21"/>
        </w:rPr>
        <w:t>表 3-31 机舱 CMS 振动数据的采集参数与溯源测点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每转一个脉冲的键相信号或转速脉冲，是阶次跟踪与转频归一的分母；缺则谱线无法按阶次定位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每次测量的时域采样频率，是谱线与特征频率能否分辨的前提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每次测量所用的加窗类型，是谱口径复核的必需项；不同加窗下的幅值不可直接比较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采集量程与量程越限（过载）标记，用于剔除饱和波形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除灵敏度之外的量程口径（满量程及其对应的输出范围），用于幅值换算复核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传感器接入采集器的通道地址，用于测点与通道的一一对应核对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传感器自身序列号，用于换件闭环与测量条件追溯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采集器序列号，用于设备级追溯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采集硬件序列号，用于硬件变更追溯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振动测量的监测周期，用于测量频次与时间窗覆盖核对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测量配置的名称，用于同一配置下测量的可比性核对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测量配置的生效时刻，用于配置变更前后分段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每次测量的触发时刻并保留毫秒位，用于与秒级数据逐值对齐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测量时的标称转频，用于阶次归一与转速漂移核对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标识谱是加速度口径还是速度口径（含积分或微分处理），用于量纲换算复核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各部件故障特征频率的登记值，用于谱线定位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每次测量数据集的维度（谱线数、通道数与平均次数等），用于重算口径核对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原始数据解析的错误标记，用于剔除解析异常的记录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倒谱测量族的标识，用于识别倒谱类测量并区别于常规谱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3.9 机组统计数据或运行数据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：发电账、可利用率与利用小时、损失电量、偏航与停机统计，用于与运行数据侧损失账交叉核对。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：覆盖分析时间窗的年、月、日统计量，并注明统计口径。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：一张统计表，一行一个统计粒度（年、月或日），逐台或全场汇总必须写明。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3-32　</w:t>
      </w:r>
      <w:r>
        <w:rPr>
          <w:rFonts w:ascii="Times New Roman" w:hAnsi="Times New Roman" w:eastAsia="宋体"/>
          <w:b/>
          <w:color w:val="000000"/>
          <w:sz w:val="21"/>
        </w:rPr>
        <w:t>表 3-32 机组统计数据或运行数据的测点清单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统计期内的发电量，是电量账的主指标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统计期内的平均风速，用于发电量口径核实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统计期内的机组可利用率，其口径必须成文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统计期内因限电损失的电量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上网电量或计量电量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关口计量电量，用于与机组发电量对拍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统计期内因维护导致的停机时长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利用小时数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统计期内的等效利用小时数；其单位口径必须由现场明确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统计期内机组自身耗电量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3.10 机组保护定值及控制参数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：保护判据的最终依据、控制参数一致性的参照、偏航与降载控制策略的依据。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：一份成册的定值表（含每条定值的下限、上限、默认值、当前值与单位），另加偏航控制策略与降载控制策略文档。控制参数一致性件可先由运行数据反演顶替，但顶替口径必须写明。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：一个定值表，一行一条定值，列为编号、名称、下限、上限、默认值、当前值、单位、复位方式；策略文档另册。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3-33　</w:t>
      </w:r>
      <w:r>
        <w:rPr>
          <w:rFonts w:ascii="Times New Roman" w:hAnsi="Times New Roman" w:eastAsia="宋体"/>
          <w:b/>
          <w:color w:val="000000"/>
          <w:sz w:val="21"/>
        </w:rPr>
        <w:t>表 3-33 机组保护定值及控制参数的测点清单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定值的唯一编号，用于跨源对照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定值的中文名称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该定值允许的最小值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该定值允许的最大值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定值默认值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出厂默认取值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定值当前值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机组当前生效取值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每条定值自带的单位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定值的复位或恢复方式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转速与超速类保护的动作定值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偏航动作条件、对风死区、解缆策略的成文说明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降载与限功率控制的成文说明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3.11 机组故障录波数据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：故障前后机组数据的高分辨率快照，用于故障机理的秒级回溯。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：每次机组故障后，触发前后一段的记录文件；触发前与触发后的时长、采样频率与通道清单必须随件给出。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：逐次触发一条记录，含触发时刻、触发原因、通道清单与波形数据；时间基准必须与秒级数据一致。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3-34　</w:t>
      </w:r>
      <w:r>
        <w:rPr>
          <w:rFonts w:ascii="Times New Roman" w:hAnsi="Times New Roman" w:eastAsia="宋体"/>
          <w:b/>
          <w:color w:val="000000"/>
          <w:sz w:val="21"/>
        </w:rPr>
        <w:t>表 3-34 机组故障录波数据的测点清单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录波触发的时间戳，必须能与秒级时间戳对齐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触发录波的事件或码值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录波的采样频率，必须明确实际值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触发前后各自的记录时长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通道清单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录波包含的通道及其业务含义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录波中的发电机转速与叶轮转速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录波中的有功功率与无功功率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kW、kVar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桨距与液压通道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录波中的桨距角与液压压力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录波中的温度量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录波中的振动量（若有）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3.12 可研报告及微观选址报告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：逐台设计基线与测风依据，用作发电性能的外部对照。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：全本，含测风依据、逐台设计基线、尾流折减与机型选型结论。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：成册文档，可提取的结论必须同时给出数值表。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3-35　</w:t>
      </w:r>
      <w:r>
        <w:rPr>
          <w:rFonts w:ascii="Times New Roman" w:hAnsi="Times New Roman" w:eastAsia="宋体"/>
          <w:b/>
          <w:color w:val="000000"/>
          <w:sz w:val="21"/>
        </w:rPr>
        <w:t>表 3-35 可研报告及微观选址报告的测点清单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可研采用的测风塔位置、层高与测风时段说明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逐台设计发电小时数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设计阶段逐台年发电小时数，作为外部对照基线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尾流折减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设计阶段尾流损失比例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机型选型依据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机型选择与安全等级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场址环境条件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气温、盐雾、雷电、地震等设计条件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微观选址结论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逐台机位微调与限制条件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3.13 风电场简介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：场站元信息，用于背景、署名与台账筛选。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：一份，含场站规模、投产时间与场址特性。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：一份说明文档。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3-36　</w:t>
      </w:r>
      <w:r>
        <w:rPr>
          <w:rFonts w:ascii="Times New Roman" w:hAnsi="Times New Roman" w:eastAsia="宋体"/>
          <w:b/>
          <w:color w:val="000000"/>
          <w:sz w:val="21"/>
        </w:rPr>
        <w:t>表 3-36 风电场简介的测点清单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对外正式名称，用于署名与台账筛选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全场或分批投产时间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场址与地形特性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陆上或海上、地形与海域特性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集电线路与升压站构成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3.14 风电场坐标、机位布置图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：图示化的机位与电气布置对照，用于邻域、尾流与扇区分析的图面核对。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：全场坐标总图与机位布置图各一份，含升压站与集电线路走向。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：图纸的电子版，另附坐标表；坐标系统与图纸基准必须写明。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3-37　</w:t>
      </w:r>
      <w:r>
        <w:rPr>
          <w:rFonts w:ascii="Times New Roman" w:hAnsi="Times New Roman" w:eastAsia="宋体"/>
          <w:b/>
          <w:color w:val="000000"/>
          <w:sz w:val="21"/>
        </w:rPr>
        <w:t>表 3-37 风电场坐标、机位布置图的测点清单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全场机位与升压站的位置总图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逐台机位编号与相互位置关系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升压站与集电线路图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升压站、集电线路走向与接入关系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坐标系统与基准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图纸与坐标表所用的坐标系统与高程基准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图纸比例与图例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图纸比例尺与图例说明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可编辑矢量图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可编辑的矢量图件，用于叠加分析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3.15 风机技术协议及风机合同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：合同指标对标，包括担保曲线、保证率与考核条款。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：合同全本，含担保曲线附件、保证率条款、整改与考核条款。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：成册文本；担保曲线的附属条件必须与曲线同册给出。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3-38　</w:t>
      </w:r>
      <w:r>
        <w:rPr>
          <w:rFonts w:ascii="Times New Roman" w:hAnsi="Times New Roman" w:eastAsia="宋体"/>
          <w:b/>
          <w:color w:val="000000"/>
          <w:sz w:val="21"/>
        </w:rPr>
        <w:t>表 3-38 风机技术协议及风机合同的测点清单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合同附件的风速与功率成对点，是合同指标对标的基准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合同保证的可用率指标及其考核口径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担保曲线适用的空气密度、湍流度与风切变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整改与考核条款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指标不达标时的整改期与考核方式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违约金条款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违约认定与赔偿条款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电气与噪声性能条款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电能质量、无功能力、电压穿越与噪声要求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3.16 并网到现在的生产报表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：日粒度与月粒度的发电账，用于与运行数据侧损失账交叉核对。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：并网至今的连续序列，日粒度或月粒度；口径说明必须成文。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：一张统计表，一行一个统计粒度，含风速、发电量、故障率与限电量。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3-39　</w:t>
      </w:r>
      <w:r>
        <w:rPr>
          <w:rFonts w:ascii="Times New Roman" w:hAnsi="Times New Roman" w:eastAsia="宋体"/>
          <w:b/>
          <w:color w:val="000000"/>
          <w:sz w:val="21"/>
        </w:rPr>
        <w:t>表 3-39 并网到现在的生产报表的测点清单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日粒度与月粒度报表的起止与对应关系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发电量是否含厂用电、是否含限电、是否含尾流修正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3.17 周围已建风电场生产报表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：尾流与场级损耗的外部对照。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：覆盖分析时间窗的统计报表，含风速、发电量、故障率与限电量。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：一张统计表，一行一个统计期。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3-40　</w:t>
      </w:r>
      <w:r>
        <w:rPr>
          <w:rFonts w:ascii="Times New Roman" w:hAnsi="Times New Roman" w:eastAsia="宋体"/>
          <w:b/>
          <w:color w:val="000000"/>
          <w:sz w:val="21"/>
        </w:rPr>
        <w:t>表 3-40 周围已建风电场生产报表的测点清单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场站基础信息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邻场装机容量、机组台数与投产时间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3.18 运维记录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：检修面与闭环验证，与状态事件、油样三源交叉。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：覆盖分析时间窗的维护台账与检修台账，另加油液化验报告。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：一个作业台账表，一行一次作业；油样单独一张化验表，一行一个化验项目。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3-41　</w:t>
      </w:r>
      <w:r>
        <w:rPr>
          <w:rFonts w:ascii="Times New Roman" w:hAnsi="Times New Roman" w:eastAsia="宋体"/>
          <w:b/>
          <w:color w:val="000000"/>
          <w:sz w:val="21"/>
        </w:rPr>
        <w:t>表 3-41 运维记录的测点清单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维护或检修作业的发生时刻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作业涉及的部件与部位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作业描述与处置动作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定期维护、故障处置、技术改造等分类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停机与恢复时刻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作业引起的停机起止时刻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油样取样与化验日期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取样的部件与部位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各化验项目的数值与判定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3.19 大部件更换记录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：部件在升与换件闭环的判定输入，用于部件可靠性与寿期评估。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：逐次更换的时间、机组、部件与原因。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：一个更换台账表，一行一次更换。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3-42　</w:t>
      </w:r>
      <w:r>
        <w:rPr>
          <w:rFonts w:ascii="Times New Roman" w:hAnsi="Times New Roman" w:eastAsia="宋体"/>
          <w:b/>
          <w:color w:val="000000"/>
          <w:sz w:val="21"/>
        </w:rPr>
        <w:t>表 3-42 大部件更换记录的测点清单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部件更换的发生时刻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更换的部件与安装位置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更换原因与失效模式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拆下件与装上件的序列号或批次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备件批次与供应商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拆下件自投运或上次更换起的累计运行时长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3.20 图纸、技术文件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：故障码位域语义、控制逻辑、液压与电气回路的最终依据，也是判据的出处。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：风机电气控制相关图纸、液压站图纸、逻辑图或控制方式文件、保护定值表。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：图纸与文件的电子版；文本层的图纸必须有可检索文字，扫描件必须同时给出关键数值表。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3-43　</w:t>
      </w:r>
      <w:r>
        <w:rPr>
          <w:rFonts w:ascii="Times New Roman" w:hAnsi="Times New Roman" w:eastAsia="宋体"/>
          <w:b/>
          <w:color w:val="000000"/>
          <w:sz w:val="21"/>
        </w:rPr>
        <w:t>表 3-43 图纸、技术文件的测点清单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主控与电气控制原理，是位域语义与逻辑判据的最终依据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端子号与接线对照，是通道与测点对应关系的依据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控制逻辑与状态机说明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液压与偏航系统的回路构成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温度、压力、速度等保护定值清单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状态字与故障标志字的逐位含义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结构树文件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机组结构树与部件层级，是部件归集的依据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图纸标注所含的电压、电流、压力、温度等量纲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3.21 设备参数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：振动阶次定位与寿命评估的分母；缺则「哪个部件、哪一级」的定位只能停在候选级。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：逐部件的型号、厂家与齿数参数；随机型常量固化的特征频率表。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：一个参数表，一行一个部件或一项参数；齿数与个数类必须给出整数。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3-44　</w:t>
      </w:r>
      <w:r>
        <w:rPr>
          <w:rFonts w:ascii="Times New Roman" w:hAnsi="Times New Roman" w:eastAsia="宋体"/>
          <w:b/>
          <w:color w:val="000000"/>
          <w:sz w:val="21"/>
        </w:rPr>
        <w:t>表 3-44 设备参数的测点清单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主轴轴承型号与制造厂家，是主轴承特征频率的分母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齿轮箱各级与总传动比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齿轮箱各级轴承型号，是各级轴承特征频率的分母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发电机两端轴承型号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叶片长度、气动外形与质量参数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测点汇总索引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本章把第 3 章的测点按业务域汇总，供现场按域核对与按域收资。同一测点在不同数据类别中出现时分行列出，所属数据类别一列指明其出处。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4-1　</w:t>
      </w:r>
      <w:r>
        <w:rPr>
          <w:rFonts w:ascii="Times New Roman" w:hAnsi="Times New Roman" w:eastAsia="宋体"/>
          <w:b/>
          <w:color w:val="000000"/>
          <w:sz w:val="21"/>
        </w:rPr>
        <w:t>表 4-1 测点汇总索引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业务域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所属数据类别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SCADA、电网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叶片桨距角（1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叶片桨距角（2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叶片桨距角（3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发电机定子绕组温度（U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发电机定子绕组温度（V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发电机定子绕组温度（W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风速故障计数（两路）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SCADA、机组统计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机舱振动（三向）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g、m/s²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运维记录、大部件更换、机位分布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定值上下限与默认值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变桨与偏航驱动齿数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数据质量与对齐要求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本章的要求与具体场站无关，适用于任何形态的源件。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时间戳与采样一致性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时间戳统一写法</w:t>
      </w:r>
      <w:r>
        <w:rPr>
          <w:rFonts w:ascii="Times New Roman" w:hAnsi="Times New Roman" w:eastAsia="宋体"/>
          <w:b w:val="0"/>
          <w:color w:val="000000"/>
          <w:sz w:val="24"/>
        </w:rPr>
        <w:t>：所有类别的时间戳统一为「年-月-日 时:分:秒」的本地时刻。台账类源件若采用「月/日/年 时:分/秒」一类写法，必须按同一约定解析，并与统一写法逐值核对后再入分析。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时区同一约定</w:t>
      </w:r>
      <w:r>
        <w:rPr>
          <w:rFonts w:ascii="Times New Roman" w:hAnsi="Times New Roman" w:eastAsia="宋体"/>
          <w:b w:val="0"/>
          <w:color w:val="000000"/>
          <w:sz w:val="24"/>
        </w:rPr>
        <w:t>：源件若带时区偏移，必须与不带偏移的时间戳统一为同一约定；</w:t>
      </w:r>
      <w:r>
        <w:rPr>
          <w:rFonts w:ascii="Times New Roman" w:hAnsi="Times New Roman" w:eastAsia="宋体"/>
          <w:b/>
          <w:color w:val="000000"/>
          <w:sz w:val="24"/>
        </w:rPr>
        <w:t>两侧必须同一约定</w:t>
      </w:r>
      <w:r>
        <w:rPr>
          <w:rFonts w:ascii="Times New Roman" w:hAnsi="Times New Roman" w:eastAsia="宋体"/>
          <w:b w:val="0"/>
          <w:color w:val="000000"/>
          <w:sz w:val="24"/>
        </w:rPr>
        <w:t>，否则同一列会跨日分层。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采样周期逐台核对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分钟数据的采样周期为 600 秒，秒级数据的采样周期为 1 秒至 30 秒之间；周期必须逐台逐月核对，不得只抽一台代表全场。周期跳变与断录必须显式记录。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区间归属明确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分钟数据的时间戳究竟表示区间起点还是区间终点，必须由现场明确并写成口径；秒级数据的时间戳为瞬时时刻。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秒级与 10 分钟可对齐</w:t>
      </w:r>
      <w:r>
        <w:rPr>
          <w:rFonts w:ascii="Times New Roman" w:hAnsi="Times New Roman" w:eastAsia="宋体"/>
          <w:b w:val="0"/>
          <w:color w:val="000000"/>
          <w:sz w:val="24"/>
        </w:rPr>
        <w:t>：秒级数据必须能与 10 分钟数据在同一时间基准下对齐；对齐方式（秒级聚合到 10 分钟，或 10 分钟展开到秒级）必须写明。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单位与量纲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单位真源唯一</w:t>
      </w:r>
      <w:r>
        <w:rPr>
          <w:rFonts w:ascii="Times New Roman" w:hAnsi="Times New Roman" w:eastAsia="宋体"/>
          <w:b w:val="0"/>
          <w:color w:val="000000"/>
          <w:sz w:val="24"/>
        </w:rPr>
        <w:t>：单位只认两处真源——测点词典中的单位取值，以及机型字段契约中逐列登记的单位；本文第 3 章凡写「未取证」之处，即为该两处真源中都查不到依据的测点，必须由现场或厂家资料确认后才能入契约，</w:t>
      </w:r>
      <w:r>
        <w:rPr>
          <w:rFonts w:ascii="Times New Roman" w:hAnsi="Times New Roman" w:eastAsia="宋体"/>
          <w:b/>
          <w:color w:val="000000"/>
          <w:sz w:val="24"/>
        </w:rPr>
        <w:t>不得凭常识补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变体归一</w:t>
      </w:r>
      <w:r>
        <w:rPr>
          <w:rFonts w:ascii="Times New Roman" w:hAnsi="Times New Roman" w:eastAsia="宋体"/>
          <w:b w:val="0"/>
          <w:color w:val="000000"/>
          <w:sz w:val="24"/>
        </w:rPr>
        <w:t>：同一物理量在不同源件中可能出现多种写法（例如温度的两种写法、风速的两种写法、频率的两种写法），必须先归一为同一量纲再合并。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压力类必须逐条看</w:t>
      </w:r>
      <w:r>
        <w:rPr>
          <w:rFonts w:ascii="Times New Roman" w:hAnsi="Times New Roman" w:eastAsia="宋体"/>
          <w:b w:val="0"/>
          <w:color w:val="000000"/>
          <w:sz w:val="24"/>
        </w:rPr>
        <w:t>：压力类在词典中同时存在多种量纲，必须逐条比对词条，不能按「压力就是巴」推定。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同一测点同名同量纲</w:t>
      </w:r>
      <w:r>
        <w:rPr>
          <w:rFonts w:ascii="Times New Roman" w:hAnsi="Times New Roman" w:eastAsia="宋体"/>
          <w:b w:val="0"/>
          <w:color w:val="000000"/>
          <w:sz w:val="24"/>
        </w:rPr>
        <w:t>：同一个业务含义的测点，在不同数据类别中必须使用同一量纲；若源件量纲不同，必须在提交说明中写明换算关系。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派生量的单位随源量</w:t>
      </w:r>
      <w:r>
        <w:rPr>
          <w:rFonts w:ascii="Times New Roman" w:hAnsi="Times New Roman" w:eastAsia="宋体"/>
          <w:b w:val="0"/>
          <w:color w:val="000000"/>
          <w:sz w:val="24"/>
        </w:rPr>
        <w:t>：由源量相减或相除得到的派生量（例如三叶桨距角极差、滤芯压差、配对温差），其单位随源量，不得自造新单位。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5-1　</w:t>
      </w:r>
      <w:r>
        <w:rPr>
          <w:rFonts w:ascii="Times New Roman" w:hAnsi="Times New Roman" w:eastAsia="宋体"/>
          <w:b/>
          <w:color w:val="000000"/>
          <w:sz w:val="21"/>
        </w:rPr>
        <w:t>表 5-1 常见单位变体与归一要求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物理量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源件可能出现的多种写法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归一要求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摄氏度符号写法与字母写法两种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统一为摄氏度，两者同量纲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统一为米每秒，两者同量纲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赫兹与毫赫兹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按词条逐条看，两者不同量纲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巴、千帕、帕、百帕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必须逐条看词条，不得推定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统一为转每分，两者同量纲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缺测与哨兵值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哨兵值清单随件给出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：源件用什么数值表示无效、掉线或未接线，必须由现场给出清单与含义；未给出清单的源件按缺测处理，不得把哨兵值当作有效测量值。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界外值一律转缺失</w:t>
      </w:r>
      <w:r>
        <w:rPr>
          <w:rFonts w:ascii="Times New Roman" w:hAnsi="Times New Roman" w:eastAsia="宋体"/>
          <w:b w:val="0"/>
          <w:color w:val="000000"/>
          <w:sz w:val="24"/>
        </w:rPr>
        <w:t>：越出物理界或设计界的取值一律转为缺失，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压到边界上（压边界会扭曲统计）。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零值的合法性逐列确认</w:t>
      </w:r>
      <w:r>
        <w:rPr>
          <w:rFonts w:ascii="Times New Roman" w:hAnsi="Times New Roman" w:eastAsia="宋体"/>
          <w:b w:val="0"/>
          <w:color w:val="000000"/>
          <w:sz w:val="24"/>
        </w:rPr>
        <w:t>：零值可能合法且具有诊断意义（例如停机态功率为零、失压事件电压接近零），是否把零当无效必须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与现场确认，禁止统一设为零值哨兵。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恒值列必须标注</w:t>
      </w:r>
      <w:r>
        <w:rPr>
          <w:rFonts w:ascii="Times New Roman" w:hAnsi="Times New Roman" w:eastAsia="宋体"/>
          <w:b w:val="0"/>
          <w:color w:val="000000"/>
          <w:sz w:val="24"/>
        </w:rPr>
        <w:t>：全场恒值或长时间恒值的测点（未接线、未标定、采集掉线）必须在提交说明中标注，并在分析前排除。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缺列如实记</w:t>
      </w:r>
      <w:r>
        <w:rPr>
          <w:rFonts w:ascii="Times New Roman" w:hAnsi="Times New Roman" w:eastAsia="宋体"/>
          <w:b w:val="0"/>
          <w:color w:val="000000"/>
          <w:sz w:val="24"/>
        </w:rPr>
        <w:t>：源件缺少本文要求的测点时，必须如实记录缺列清单，</w:t>
      </w:r>
      <w:r>
        <w:rPr>
          <w:rFonts w:ascii="Times New Roman" w:hAnsi="Times New Roman" w:eastAsia="宋体"/>
          <w:b/>
          <w:color w:val="000000"/>
          <w:sz w:val="24"/>
        </w:rPr>
        <w:t>不造零、不静默丢列</w:t>
      </w:r>
      <w:r>
        <w:rPr>
          <w:rFonts w:ascii="Times New Roman" w:hAnsi="Times New Roman" w:eastAsia="宋体"/>
          <w:b w:val="0"/>
          <w:color w:val="000000"/>
          <w:sz w:val="24"/>
        </w:rPr>
        <w:t>；缺列对应的分析面按不可判处理。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量化步长说明</w:t>
      </w:r>
      <w:r>
        <w:rPr>
          <w:rFonts w:ascii="Times New Roman" w:hAnsi="Times New Roman" w:eastAsia="宋体"/>
          <w:b w:val="0"/>
          <w:color w:val="000000"/>
          <w:sz w:val="24"/>
        </w:rPr>
        <w:t>：源件若按固定步长量化，必须逐列给出量化步长与有效位数；跨形态合并时按同一精度口径逐值比对，重叠区不一致的格数必须记入产物属性。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命名一致性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测点映射表必须显式给出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：源件列名与其业务含义的对应关系必须以映射表提交，一份测点一个业务含义；</w:t>
      </w:r>
      <w:r>
        <w:rPr>
          <w:rFonts w:ascii="Times New Roman" w:hAnsi="Times New Roman" w:eastAsia="宋体"/>
          <w:b/>
          <w:color w:val="000000"/>
          <w:sz w:val="24"/>
        </w:rPr>
        <w:t>禁止靠位置或排序猜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按列名绑定、禁用位置索引</w:t>
      </w:r>
      <w:r>
        <w:rPr>
          <w:rFonts w:ascii="Times New Roman" w:hAnsi="Times New Roman" w:eastAsia="宋体"/>
          <w:b w:val="0"/>
          <w:color w:val="000000"/>
          <w:sz w:val="24"/>
        </w:rPr>
        <w:t>：同一场各台机组的列序可能互不相同，因此一切读取必须按列名绑定；按位置取数会得到「名字对不上数」的数据。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台号对照表必须显式给出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：同一台机组在不同源件中可能使用不同写法，台号与其内部编号的对应关系必须显式提交对照表。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代码表独立成件</w:t>
      </w:r>
      <w:r>
        <w:rPr>
          <w:rFonts w:ascii="Times New Roman" w:hAnsi="Times New Roman" w:eastAsia="宋体"/>
          <w:b w:val="0"/>
          <w:color w:val="000000"/>
          <w:sz w:val="24"/>
        </w:rPr>
        <w:t>：状态码、故障码、报警码各一份代码表，两列：代码、说明；同一代码在不同命名空间中的含义不得混判。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同源副本必须标注</w:t>
      </w:r>
      <w:r>
        <w:rPr>
          <w:rFonts w:ascii="Times New Roman" w:hAnsi="Times New Roman" w:eastAsia="宋体"/>
          <w:b w:val="0"/>
          <w:color w:val="000000"/>
          <w:sz w:val="24"/>
        </w:rPr>
        <w:t>：若两个测点实为同一条信号，必须在提交说明中标注，并</w:t>
      </w:r>
      <w:r>
        <w:rPr>
          <w:rFonts w:ascii="Times New Roman" w:hAnsi="Times New Roman" w:eastAsia="宋体"/>
          <w:b/>
          <w:color w:val="000000"/>
          <w:sz w:val="24"/>
        </w:rPr>
        <w:t>禁作第二独立证据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位号释义必须随件给出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：提交的数据必须附测点与位号字典，逐条给出位号、中文释义、单位与量程；无释义的通道只能按「未取证／不解」登记，不得凭猜测归因。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同期对齐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统一时间基准</w:t>
      </w:r>
      <w:r>
        <w:rPr>
          <w:rFonts w:ascii="Times New Roman" w:hAnsi="Times New Roman" w:eastAsia="宋体"/>
          <w:b w:val="0"/>
          <w:color w:val="000000"/>
          <w:sz w:val="24"/>
        </w:rPr>
        <w:t>：跨源对齐一律以第 5.1 节的时间基准为准；台账类源件的事件时刻必须能与其他源件在同一基准下对齐。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时间窗重叠必须显式记录</w:t>
      </w:r>
      <w:r>
        <w:rPr>
          <w:rFonts w:ascii="Times New Roman" w:hAnsi="Times New Roman" w:eastAsia="宋体"/>
          <w:b w:val="0"/>
          <w:color w:val="000000"/>
          <w:sz w:val="24"/>
        </w:rPr>
        <w:t>：多源数据的时间窗重叠区必须写明起止，不得默认按上报时段推定重叠。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时间空洞如实记录</w:t>
      </w:r>
      <w:r>
        <w:rPr>
          <w:rFonts w:ascii="Times New Roman" w:hAnsi="Times New Roman" w:eastAsia="宋体"/>
          <w:b w:val="0"/>
          <w:color w:val="000000"/>
          <w:sz w:val="24"/>
        </w:rPr>
        <w:t>：源件中的时间空洞必须逐段记录（起止时刻与长度），并在产物中标注；不得插值填补后当作有效测量值。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残段如实出</w:t>
      </w:r>
      <w:r>
        <w:rPr>
          <w:rFonts w:ascii="Times New Roman" w:hAnsi="Times New Roman" w:eastAsia="宋体"/>
          <w:b w:val="0"/>
          <w:color w:val="000000"/>
          <w:sz w:val="24"/>
        </w:rPr>
        <w:t>：若某个时间窗内只有极少样本，产物仍应如实输出并标注样本量，不得用「最少样本」门把「数据有没有到」变成猜测。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台账逐行对齐</w:t>
      </w:r>
      <w:r>
        <w:rPr>
          <w:rFonts w:ascii="Times New Roman" w:hAnsi="Times New Roman" w:eastAsia="宋体"/>
          <w:b w:val="0"/>
          <w:color w:val="000000"/>
          <w:sz w:val="24"/>
        </w:rPr>
        <w:t>：台账类产物必须逐行对齐源件；源件变更后必须重算，否则页面与源件会对不上。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源件只读与不可覆盖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源件只读</w:t>
      </w:r>
      <w:r>
        <w:rPr>
          <w:rFonts w:ascii="Times New Roman" w:hAnsi="Times New Roman" w:eastAsia="宋体"/>
          <w:b w:val="0"/>
          <w:color w:val="000000"/>
          <w:sz w:val="24"/>
        </w:rPr>
        <w:t>：现场提交的源件是只读输入，分析侧不得改写、不得覆盖、不得就地清洗。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增量判定按同名同尺寸</w:t>
      </w:r>
      <w:r>
        <w:rPr>
          <w:rFonts w:ascii="Times New Roman" w:hAnsi="Times New Roman" w:eastAsia="宋体"/>
          <w:b w:val="0"/>
          <w:color w:val="000000"/>
          <w:sz w:val="24"/>
        </w:rPr>
        <w:t>：目标不存在为新增；同名同尺寸视为同一份并跳过；同名不同尺寸为冲突，</w:t>
      </w:r>
      <w:r>
        <w:rPr>
          <w:rFonts w:ascii="Times New Roman" w:hAnsi="Times New Roman" w:eastAsia="宋体"/>
          <w:b/>
          <w:color w:val="000000"/>
          <w:sz w:val="24"/>
        </w:rPr>
        <w:t>必须人工确认</w:t>
      </w:r>
      <w:r>
        <w:rPr>
          <w:rFonts w:ascii="Times New Roman" w:hAnsi="Times New Roman" w:eastAsia="宋体"/>
          <w:b w:val="0"/>
          <w:color w:val="000000"/>
          <w:sz w:val="24"/>
        </w:rPr>
        <w:t>是现场更正还是另一批数据，默认拒绝覆盖。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覆盖不可逆</w:t>
      </w:r>
      <w:r>
        <w:rPr>
          <w:rFonts w:ascii="Times New Roman" w:hAnsi="Times New Roman" w:eastAsia="宋体"/>
          <w:b w:val="0"/>
          <w:color w:val="000000"/>
          <w:sz w:val="24"/>
        </w:rPr>
        <w:t>：任何覆盖都必须显式确认，并在覆盖后立即重算相关产物；覆盖前必须留底。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交付形态按「源类目录，再往下一层就是文件」</w:t>
      </w:r>
      <w:r>
        <w:rPr>
          <w:rFonts w:ascii="Times New Roman" w:hAnsi="Times New Roman" w:eastAsia="宋体"/>
          <w:b w:val="0"/>
          <w:color w:val="000000"/>
          <w:sz w:val="24"/>
        </w:rPr>
        <w:t>：多套一层包名目录等于没放；同一类数据的交付形态必须统一，不得混用多种层级。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口径可追溯</w:t>
      </w:r>
      <w:r>
        <w:rPr>
          <w:rFonts w:ascii="Times New Roman" w:hAnsi="Times New Roman" w:eastAsia="宋体"/>
          <w:b w:val="0"/>
          <w:color w:val="000000"/>
          <w:sz w:val="24"/>
        </w:rPr>
        <w:t>：每一份产物都必须能追到其源件、单位口径与时间窗口；顶替件与正本必须在产物中区分标注。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必须性分级与优先级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分档规则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一项收资到底是必须、建议还是可选，只问五个与场无关的问题。判定顺序：</w:t>
      </w:r>
      <w:r>
        <w:rPr>
          <w:rFonts w:ascii="Times New Roman" w:hAnsi="Times New Roman" w:eastAsia="宋体"/>
          <w:b/>
          <w:color w:val="000000"/>
          <w:sz w:val="24"/>
        </w:rPr>
        <w:t>先问 R5</w:t>
      </w:r>
      <w:r>
        <w:rPr>
          <w:rFonts w:ascii="Times New Roman" w:hAnsi="Times New Roman" w:eastAsia="宋体"/>
          <w:b w:val="0"/>
          <w:color w:val="000000"/>
          <w:sz w:val="24"/>
        </w:rPr>
        <w:t>（有没有消费者），命中就直接定档为不催；否则依次问 R1、R2、R3、R4，</w:t>
      </w:r>
      <w:r>
        <w:rPr>
          <w:rFonts w:ascii="Times New Roman" w:hAnsi="Times New Roman" w:eastAsia="宋体"/>
          <w:b/>
          <w:color w:val="000000"/>
          <w:sz w:val="24"/>
        </w:rPr>
        <w:t>首个命中即定档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6-1　</w:t>
      </w:r>
      <w:r>
        <w:rPr>
          <w:rFonts w:ascii="Times New Roman" w:hAnsi="Times New Roman" w:eastAsia="宋体"/>
          <w:b/>
          <w:color w:val="000000"/>
          <w:sz w:val="21"/>
        </w:rPr>
        <w:t>表 6-1 通用判定规则（五问定档）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判定问题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 无消费者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本系统有没有摄入器与产物真的消费它？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没有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无影响；将来要做该专题时再新增摄入与判据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 主线阻断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缺了会不会让判级四轴、发电性能、可靠性、台账或合同指标对标中任一条主线面不可判，或让核对锚点对不上？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该主线面显示缺件或不可判，重算链对应步骤响亮报错或跳过，不造数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 精度与互证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缺了不阻断主线，但会不会让结论精度下降、跨源互证或「检出、处置、复测」闭环做不了？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结论仍在，但依据变少，跨源互证与闭环缺一环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 有自算替代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缺了能不能由本系统自算件或已提交的其他数据按已登记口径顶替？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用替代件并如实标注来源；现场正本提交后正本优先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 只影响外部对照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缺了是不是只让某个专题或场外对照（邻场报表、可研与微观选址、测风塔外部锚）缺参照？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只有对应专题或外部对照不可做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分档与必须性的对应：P0 对应「必须」，P1 对应「建议」，P2 对应「可选」。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21 类分档表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6-2　</w:t>
      </w:r>
      <w:r>
        <w:rPr>
          <w:rFonts w:ascii="Times New Roman" w:hAnsi="Times New Roman" w:eastAsia="宋体"/>
          <w:b/>
          <w:color w:val="000000"/>
          <w:sz w:val="21"/>
        </w:rPr>
        <w:t>表 6-2 收资要求 21 类的规则化分档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分档说明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逐台导出覆盖分析时间窗；判级参照时间窗与季节匹配时间窗各需一段；缺台即该台不可判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 1 秒至 30 秒之间原生高频时，可用分钟级转发层顶替；本节测点表内的「必须」指提交秒级数据时的必需测点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前期实地测风满一年，运行期一整年分钟级；缺则自由流与湍流度只能用代理量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标准空气密度曲线与合同担保曲线各一条；缺则只能做机群相对比较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换机型即换表：切入切出风速、额定风速、额定功率、叶轮直径、轮毂高度、传动比、生存温度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逐台坐标与海拔（含轮毂高度）；坐标不可自算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状态码表、故障码表与详细记录按场重收；码表是厂家私有命名空间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至少一个季度的秒级振动数据（非加密）与原始时域波形；缺则振动侧无源可算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年、月、日统计量可由运行数据重建，但前提是第 1 项已提交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定值表成册加偏航控制策略与降载控制策略；控制参数一致性件可先由数据反演顶替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本系统不消费；将来要做秒级故障回溯时再新增摄入与判据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逐台设计基线与测风依据用作外部对照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场站元信息（规模、投产时间、场址特性）用于背景与署名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布置图可由坐标件生成；第 6 项提交后本项只影响图示对照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担保曲线与保证率条款是合同指标对标的依据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与运行数据侧损失账对拍；口径必须成文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维护与检修台账，与油样、报警三源交叉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逐次更换的时间、机组、部件、原因；缺则闭环停在处置侧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电气控制、液压、逻辑图与保护定值表是位域语义与判据的最终依据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逐部件型号与齿数是振动阶次定位与寿命评估的分母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追加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位号、中文释义、单位与量程是通道归因的前提；缺则无释义的通道只能按未取证登记，不得凭猜测归因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小结：按规则分档为 </w:t>
      </w:r>
      <w:r>
        <w:rPr>
          <w:rFonts w:ascii="Times New Roman" w:hAnsi="Times New Roman" w:eastAsia="宋体"/>
          <w:b/>
          <w:color w:val="000000"/>
          <w:sz w:val="24"/>
        </w:rPr>
        <w:t>P0 八项</w:t>
      </w:r>
      <w:r>
        <w:rPr>
          <w:rFonts w:ascii="Times New Roman" w:hAnsi="Times New Roman" w:eastAsia="宋体"/>
          <w:b w:val="0"/>
          <w:color w:val="000000"/>
          <w:sz w:val="24"/>
        </w:rPr>
        <w:t>（1、3、5、7、8、9、15、20）、</w:t>
      </w:r>
      <w:r>
        <w:rPr>
          <w:rFonts w:ascii="Times New Roman" w:hAnsi="Times New Roman" w:eastAsia="宋体"/>
          <w:b/>
          <w:color w:val="000000"/>
          <w:sz w:val="24"/>
        </w:rPr>
        <w:t>P1 七项</w:t>
      </w:r>
      <w:r>
        <w:rPr>
          <w:rFonts w:ascii="Times New Roman" w:hAnsi="Times New Roman" w:eastAsia="宋体"/>
          <w:b w:val="0"/>
          <w:color w:val="000000"/>
          <w:sz w:val="24"/>
        </w:rPr>
        <w:t>（4、6、10、16、18、19、21）、</w:t>
      </w:r>
      <w:r>
        <w:rPr>
          <w:rFonts w:ascii="Times New Roman" w:hAnsi="Times New Roman" w:eastAsia="宋体"/>
          <w:b/>
          <w:color w:val="000000"/>
          <w:sz w:val="24"/>
        </w:rPr>
        <w:t>P2 五项</w:t>
      </w:r>
      <w:r>
        <w:rPr>
          <w:rFonts w:ascii="Times New Roman" w:hAnsi="Times New Roman" w:eastAsia="宋体"/>
          <w:b w:val="0"/>
          <w:color w:val="000000"/>
          <w:sz w:val="24"/>
        </w:rPr>
        <w:t>（2、12、13、14、17）、</w:t>
      </w:r>
      <w:r>
        <w:rPr>
          <w:rFonts w:ascii="Times New Roman" w:hAnsi="Times New Roman" w:eastAsia="宋体"/>
          <w:b/>
          <w:color w:val="000000"/>
          <w:sz w:val="24"/>
        </w:rPr>
        <w:t>不催一项</w:t>
      </w:r>
      <w:r>
        <w:rPr>
          <w:rFonts w:ascii="Times New Roman" w:hAnsi="Times New Roman" w:eastAsia="宋体"/>
          <w:b w:val="0"/>
          <w:color w:val="000000"/>
          <w:sz w:val="24"/>
        </w:rPr>
        <w:t>（11，本文按可选登记）。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另有追加收资项「测点与位号字典」，按 R2 定档为 P1（建议），不计入上列 21 类。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本表是规则对 21 类的定档结果，与具体场站无关；任何场站按本节规则重新过一遍，即可得到该场自己的优先级。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收资要求 v3 的 21 项逐条对照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本章把收资要求的 21 项逐条对照到本文的要求：是否必须、支撑什么功能、最小可用量与要点。</w:t>
      </w:r>
      <w:r>
        <w:rPr>
          <w:rFonts w:ascii="Times New Roman" w:hAnsi="Times New Roman" w:eastAsia="宋体"/>
          <w:b/>
          <w:color w:val="000000"/>
          <w:sz w:val="24"/>
        </w:rPr>
        <w:t>本表不设状态列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7-1　</w:t>
      </w:r>
      <w:r>
        <w:rPr>
          <w:rFonts w:ascii="Times New Roman" w:hAnsi="Times New Roman" w:eastAsia="宋体"/>
          <w:b/>
          <w:color w:val="000000"/>
          <w:sz w:val="21"/>
        </w:rPr>
        <w:t>表 7-1 收资要求 21 项逐条对照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序号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数据类型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是否必须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支撑功能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最小可用量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要点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 分钟 SCADA 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判级四轴、发电性能与功率曲线、损失电量、停机事件、热链与冷却、控制参数一致性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逐台一份、采样 600 秒、统计时长建议不少于 2 年、全场机组、全量测点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核心必选集为第 3.1 节各域清单；按列名绑定；时间戳口径与区间归属必须写明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秒级 SCADA 高频数据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瞬态与启停、限电响应、振动工况标注、故障前后回溯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采样 1 秒至 30 秒之间、至少 3 个月连续、全场机组、全测点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本版新增重点；实际采样频率必须明确；必须写清与 10 分钟数据的分工及与故障录波、机舱振动数据的配合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测风塔数据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自由流风速与湍流度、风廓线、功率曲线与尾流的外部锚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前期实地测风满一年（5 分钟或 15 分钟）；运行期一整年分钟级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不同层高的风速、风向与层高标识必须齐全；无风速标准差时须按 1 秒采样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功率曲线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发电性能偏差判别与合同指标对标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标准空气密度曲线与合同担保曲线各一条，覆盖切入至切出风速段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不得只给图片；担保曲线须附空气密度、湍流度与风切变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机型参数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振动分母、功率曲线基准、控制参数参照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一份机型级参数表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切入切出风速、额定风速、生存温度在本系统中尚无单位依据，须随件明确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机位分布数据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邻域与尾流先验、扇区分析、地理对照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逐台坐标与海拔（含轮毂高度）、机型；另加升压站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坐标不可自算；必须逐台给出，混排场不得只给一种机型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机组状态、事件、故障、告警数据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报警台账、停机账、限电绑定、首发链、工单与闭环验证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覆盖分析时间窗的码表与逐条记录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每条记录必须带激活时刻与代码列；不同命名空间的码不得混判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机舱 CMS 振动数据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振动索引与谱库、部件状态评估、在升与换件闭环、机群基线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至少一个季度、秒级、含原始时域波形、全场机组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测点须覆盖主轴、齿轮箱、发电机与叶轮转速；工况分箱键必须随件给出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机组统计数据或运行数据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发电账、可利用率、损失电量、偏航与停机统计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覆盖分析时间窗的年、月、日统计量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统计口径必须成文；利用小时数的单位口径须由现场明确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机组保护定值及控制参数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保护判据依据、控制参数一致性、偏航与降载策略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定值表成册，另加偏航控制策略与降载控制策略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每条定值须含上下限、默认值、当前值与单位；控制参数一致性件可先由数据反演顶替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机组故障录波数据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故障前后高分辨率快照的秒级回溯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每次故障后触发前后一段记录，采样秒级或更高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本系统当前不消费；若启用，触发时刻必须能与秒级数据对齐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可研报告及微观选址报告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逐台设计基线与测风依据的外部对照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可提取的结论须同时给出数值表；逐台设计发电小时数的单位须明确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风电场简介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背景、署名与台账筛选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场站名称与台账中的场名写法必须一致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风电场坐标、机位布置图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图示化的机位与电气布置对照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全场坐标件与布置图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坐标系统与图例必须写明；可编辑矢量图优先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风机技术协议及风机合同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全本，含担保曲线附件与保证率条款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担保曲线的适用条件与考核、整改条款必须同册给出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并网到现在的生产报表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与运行数据侧损失账交叉核对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并网至今，日粒度或月粒度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发电量是否含厂用电与限电必须注明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周围已建风电场生产报表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尾流与场级损耗的外部对照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覆盖分析时间窗的统计报表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统计口径须与所对照的场站可比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检修面与闭环验证，与油样、报警三源交叉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覆盖分析时间窗的维护台账与检修台账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油样化验结果须给出项目与数值；取样部件必须可归集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大部件更换记录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部件在升与换件闭环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逐次更换记录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时间、机组、部件、原因、新旧件标识必须齐全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图纸、技术文件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位域语义、控制逻辑与回路判据的最终依据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电气控制、液压、逻辑图与保护定值表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扫描件须另附关键数值表；状态字与故障标志字须有逐位释义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设备参数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振动阶次定位与寿命评估的分母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逐部件型号、厂家与齿数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齿数与个数须为整数；各级传动比与轴承型号须逐级给出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面向现场的收资清单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本章为可打印清单，供现场按优先级逐项准备。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8-1　</w:t>
      </w:r>
      <w:r>
        <w:rPr>
          <w:rFonts w:ascii="Times New Roman" w:hAnsi="Times New Roman" w:eastAsia="宋体"/>
          <w:b/>
          <w:color w:val="000000"/>
          <w:sz w:val="21"/>
        </w:rPr>
        <w:t>表 8-1 面向现场的收资清单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优先级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必需测点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逐台一份、采样 600 秒、统计时长建议不少于 2 年、全场机组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（均值与最大值）、有功功率给定、机舱风速、独立风速计风速、机舱风向、发电机转速（均值与最大值）、叶轮转速、三叶桨距角、环境温度、主轴承温度（两侧）、齿轮箱油温与各轴温度、发电机三相绕组温度、发电机两端轴承温度、液压油温、变流器冷却水温度、偏航压力（均、最大、最小）、偏航动作计数、偏航润滑泵通电时长、润滑柱塞通电时长、液压系统压力（均、最大、最小）、风速故障计数、机组主状态码、刹车状态位、限电标志、限电功率给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前期实地测风满一年（5 分钟或 15 分钟）；运行期一整年分钟级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温度、湿度、气压、不同层高风速、不同层高风向、层高标识；无风速标准差时须按 1 秒采样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机型代号、传动拓扑、变桨形式、额定功率、叶轮直径、轮毂高度、齿轮箱传动比、顺桨角、机组台数、切入与切出风速、额定风速、生存温度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激活时刻、复位时刻、事件类型、事件分组、实体标识、报警码、故障码、状态码、码表说明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主轴前后轴承、行星级、中间轴、高速轴两侧、发电机驱动端与非驱动端、系统监视、叶轮转速、原始时域波形、频谱数据、无量纲指标、频率分辨率、工况分箱键、测量类型与名称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发电量、平均风速、可利用率、故障停机时长、限电损失电量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合同担保功率曲线、保证可用率、担保曲线适用条件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电气控制原理图、端子与接线表、主控逻辑图或控制方式文件、液压站原理图、保护定值表、故障码位域释义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两条曲线，覆盖切入至切出风速段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标准空气密度功率曲线、合同担保功率曲线、空气密度、湍流度、风切变、保证可用率、曲线口径说明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机组编号、经度、纬度、海拔高度、轮毂高度、机组机型、集电线路归属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定值表成册，另加策略文档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定值编号与名称、上下限与默认值、定值单位、温度保护定值、压力保护定值、速度保护定值、偏航控制策略、降载控制策略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风速、发电量、故障率、限电量、统计粒度、口径说明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覆盖分析时间窗的维护与检修台账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作业时刻、机组编号、部件、作业内容、作业类型、停机与恢复时刻、油样取样日期与部件、化验项目与结果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更换时刻、机组编号、更换部件、更换原因、新旧件标识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主轴轴承型号及厂家、齿轮箱型号厂家与各级传动参数、齿轮箱各级轴承型号、发电机型号厂家与轴承型号、叶片参数、变桨与偏航电机参数及其驱动齿数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一份覆盖全场通道的位号+释义+单位+量程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位号、中文释义、单位、量程、是否启用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秒之间、至少 3 个月连续、全场机组、全测点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、有功功率给定、风速（机舱与独立风速计）、风向、发电机转速、主轴转速（有则列）、叶轮转速、三叶桨距角与三叶极差、桨距角给定、发电机三相绕组温度、发电机两端轴承温度、齿轮箱油温与各轴温度、主轴承两侧温度、机舱温度与环境温度、液压油温、液压系统压力、储能（蓄能器）压力、机舱方位角、偏航误差、偏航压力、机组运行状态位、机组主状态码、限电标志、限电功率给定、机舱振动三向、塔架摆动、传动链加速度（有则列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场址测风依据、逐台设计发电小时数、尾流折减、机型选型依据、场址环境条件、微观选址结论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场站名称、装机容量、机组台数、投产时间、场址与地形特性、并网方式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全场坐标总图、机位布置图、升压站与集电线路图、坐标系统与基准、图纸比例与图例、可编辑矢量图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风速、发电量、故障率、限电量、场站基础信息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每次故障后触发前后一段记录，采样秒级或更高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触发时刻、触发原因、采样频率、记录时长、通道清单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单位与符号表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A-1 单位与符号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符号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中文名称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量纲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环境温度、机舱温度、齿轮箱油温、发电机绕组温度、液压油温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网侧有功功率、有功功率给定、可用功率参照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区间发电量、累计发电量、损失电量、机组自用电量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机舱风速、独立风速计风速、各层高风速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旋转速度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发电机转速、叶轮转速、主轴转速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平面角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桨距角、风向、偏航误差、扭缆角度、机位经度与纬度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角速度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液压系统压力、偏航压力、桨叶油压、制动压力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大气压力；压力类另见巴、帕、百帕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网侧相电压、定值表中的电压类定值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以千伏标注的一次侧电压量，按现场件标注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网侧相电流、变桨电机电流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电网频率、振动谱频率与分析带宽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通电时长、动作时长、持续时长、累计运行时长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故障停机时长、维护停机时长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叶轮直径、轮毂高度、海拔高度、层高标识、叶片长度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千克每立方米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牛米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力矩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米每二次方秒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振动加速度谱与时域波形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毫伏每重力加速度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振动传感器灵敏度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百分比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可利用率、湿度、限电给定百分比、塔架摆动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齿数、行星轮个数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偏航动作计数、风速故障计数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编码与枚举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状态码、故障码、说明类字段、图纸与文档类条目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尚无依据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本文中查不到单位依据的测点，须由现场或厂家资料确认后再入契约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收资要求 v3 原文 21 项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以下为现场《数据分析收资要求-v3》21 项的原文（换行以「；」分隔呈现，不改字、不删项）；其中</w:t>
      </w:r>
      <w:r>
        <w:rPr>
          <w:rFonts w:ascii="Times New Roman" w:hAnsi="Times New Roman" w:eastAsia="宋体"/>
          <w:b/>
          <w:color w:val="000000"/>
          <w:sz w:val="24"/>
        </w:rPr>
        <w:t>第 2 项「秒级 SCADA 高频数据」的采样频率已按现场最新口径写为「1 秒至 30 秒之间」</w:t>
      </w:r>
      <w:r>
        <w:rPr>
          <w:rFonts w:ascii="Times New Roman" w:hAnsi="Times New Roman" w:eastAsia="宋体"/>
          <w:b w:val="0"/>
          <w:color w:val="000000"/>
          <w:sz w:val="24"/>
        </w:rPr>
        <w:t>（该文早前版本写「1 秒或 5 秒」），其余各项逐字未动。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B-1 收资要求 v3 原文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备注（原文；第 2 项采样频率按现场最新口径）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10分钟SCADA数据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统计周期为2年的全量测点10分钟SCADA数据。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秒级SCADA高频数据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采样频率为1秒至30秒之间；统计时间为至少3个月的全量测点秒级SCADA高频数据；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5分钟或15分钟；1.项目前期实地测风塔测风数据（与可研报告中时间一致，需测风至少满一年），测点至少包含风速、风向、温度、气压、湿度。2.运行周期内统计时间为一整年的分钟级测风塔数据；测点包括：温度、湿度、气压、以及不同层高的风速、风速标准差、风向；若分钟级数据不具备"风速标准差"，则需按如下要求：采样频率为1秒；统计时间为一整年的分钟级测风塔数据；测点包括：温度、湿度、气压、以及不同层高的风速、风向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标准空气密度功率曲线；合同担保功率曲线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机型整体参数，如切入切出风速、额定风速、额定功率、叶轮直径、轮毂高度、传动比、生存温度等。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机位坐标、机位海拔高度（含轮毂高度）、机组机型的机位分布信息。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机组故障代码、状态代码表及详细说明，详细故障记录、事件记录、告警记录数据。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机舱CMS振动数据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CMS厂家出具且已确诊报告。统计时间为至少一个季度的秒级振动数据（非加密数据）及原始振动时域波形；测点包括：主轴、齿轮箱、发电机、叶轮转速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年月日机组统计运行数据，包括发电量，可利用率，利用小时数、发电量、平均风速、可利用率,故障停机时间，维护停机时间，各类损失电量情况，偏航时间、偏航次数等；参见附录两个示例文件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机组各项温度、压力、速度等保护定值，机组偏航控制策略、机组降载荷控制策略等控制参数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每次机组故障后，详细记录故障前后机组数据的文件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维护台账、检修台账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风机电气控制相关图纸、液压站图纸、逻辑图或控制方式文件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、齿轮箱各级传动参数（行星轮内齿圈齿数、行星轮个数、太阳轮齿数、行星轮齿数、平行轮大齿轮齿数、平行轮小齿轮齿数）、齿轮箱各级轴承型号、发电机型号厂家、发电机轴承型号；叶片参数、变桨电机参数、变桨驱动小齿齿数、变桨驱动大齿齿数、偏航电机参数、偏航驱动小齿齿数、偏航驱动大齿齿数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C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本文只写要求，不描述任何场站的任何数据情况；其依据来源如下：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（1）现场《数据分析收资要求-v3》所列 21 类收资项及其原文备注（保留于附录 B；第 2 项采样频率按现场最新口径）。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（2）本系统的数据接入与判级设计口径，包括测点业务含义与度量单位的登记口径、判级与发电性能分析的输入口径、数据质量与对齐口径，以及收资定档规则。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（3）本系统已登记的测点单位依据与机型字段契约中的逐列单位登记；凡无登记依据者，本文一律写「未取证」。</w:t>
      </w: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数据要求说明 · 观澜 v2 风电场智能分析系统 · 版本 2.85.0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